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g" ContentType="image/jpe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endnotes.xml" ContentType="application/vnd.openxmlformats-officedocument.wordprocessingml.endnot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pPr w:horzAnchor="page" w:tblpX="1255" w:vertAnchor="margin" w:tblpY="363" w:leftFromText="180" w:topFromText="0" w:rightFromText="180" w:bottomFromText="0"/>
        <w:tblW w:w="15588" w:type="dxa"/>
        <w:tblLook w:val="0000" w:firstRow="0" w:lastRow="0" w:firstColumn="0" w:lastColumn="0" w:noHBand="0" w:noVBand="0"/>
      </w:tblPr>
      <w:tblGrid>
        <w:gridCol w:w="5148"/>
        <w:gridCol w:w="5220"/>
        <w:gridCol w:w="5220"/>
      </w:tblGrid>
      <w:tr>
        <w:tblPrEx/>
        <w:trPr>
          <w:trHeight w:val="1267"/>
        </w:trPr>
        <w:tc>
          <w:tcPr>
            <w:shd w:val="clear" w:color="auto" w:fill="auto"/>
            <w:tcW w:w="5148" w:type="dxa"/>
            <w:textDirection w:val="lrTb"/>
            <w:noWrap w:val="false"/>
          </w:tcPr>
          <w:p>
            <w:r/>
            <w:r/>
          </w:p>
        </w:tc>
        <w:tc>
          <w:tcPr>
            <w:tcW w:w="5220" w:type="dxa"/>
            <w:textDirection w:val="lrTb"/>
            <w:noWrap w:val="false"/>
          </w:tcPr>
          <w:p>
            <w:pPr>
              <w:jc w:val="right"/>
              <w:rPr>
                <w:b/>
              </w:rPr>
            </w:pPr>
            <w:r>
              <w:rPr>
                <w:b/>
              </w:rPr>
              <w:t xml:space="preserve">УТВЕРЖДАЮ:</w:t>
            </w:r>
            <w:r>
              <w:rPr>
                <w:b/>
              </w:rPr>
            </w:r>
            <w:r>
              <w:rPr>
                <w:b/>
              </w:rPr>
            </w:r>
          </w:p>
          <w:p>
            <w:pPr>
              <w:jc w:val="right"/>
            </w:pPr>
            <w:r>
              <w:t xml:space="preserve">Начальник управления эксплуатации и </w:t>
            </w:r>
            <w:r>
              <w:t xml:space="preserve">ТОиР</w:t>
            </w:r>
            <w:r/>
          </w:p>
          <w:p>
            <w:pPr>
              <w:jc w:val="right"/>
            </w:pPr>
            <w:r>
              <w:t xml:space="preserve">филиала ПАО «</w:t>
            </w:r>
            <w:r>
              <w:t xml:space="preserve">Россети</w:t>
            </w:r>
            <w:r>
              <w:t xml:space="preserve"> Урал» - «Пермэнерго»</w:t>
            </w:r>
            <w:r/>
          </w:p>
          <w:p>
            <w:pPr>
              <w:jc w:val="right"/>
            </w:pPr>
            <w:r/>
            <w:r/>
          </w:p>
          <w:p>
            <w:pPr>
              <w:jc w:val="right"/>
              <w:rPr>
                <w:highlight w:val="none"/>
              </w:rPr>
            </w:pPr>
            <w:r>
              <w:t xml:space="preserve">________________ </w:t>
            </w:r>
            <w:r>
              <w:t xml:space="preserve">М.А. Кулаков</w:t>
            </w:r>
            <w:r>
              <w:rPr>
                <w:highlight w:val="none"/>
              </w:rPr>
            </w:r>
            <w:r>
              <w:rPr>
                <w:highlight w:val="none"/>
              </w:rPr>
            </w:r>
          </w:p>
          <w:p>
            <w:pPr>
              <w:jc w:val="right"/>
              <w:rPr>
                <w:b/>
                <w:bCs/>
              </w:rPr>
            </w:pPr>
            <w:r>
              <w:rPr>
                <w:highlight w:val="none"/>
              </w:rPr>
              <w:t xml:space="preserve">«_____»_____________________2026г</w:t>
            </w:r>
            <w:r>
              <w:rPr>
                <w:b/>
                <w:bCs/>
              </w:rPr>
            </w:r>
            <w:r>
              <w:rPr>
                <w:b/>
                <w:bCs/>
              </w:rPr>
            </w:r>
          </w:p>
        </w:tc>
        <w:tc>
          <w:tcPr>
            <w:tcW w:w="5220" w:type="dxa"/>
            <w:textDirection w:val="lrTb"/>
            <w:noWrap w:val="false"/>
          </w:tcPr>
          <w:p>
            <w:pPr>
              <w:jc w:val="right"/>
            </w:pPr>
            <w:r/>
            <w:r/>
          </w:p>
        </w:tc>
      </w:tr>
    </w:tbl>
    <w:p>
      <w:pPr>
        <w:ind w:left="1083" w:hanging="1083"/>
        <w:tabs>
          <w:tab w:val="left" w:pos="5746" w:leader="none"/>
        </w:tabs>
      </w:pPr>
      <w:r>
        <w:rPr>
          <w:b/>
        </w:rPr>
        <w:tab/>
      </w:r>
      <w:r>
        <w:rPr>
          <w:b/>
        </w:rPr>
        <w:tab/>
      </w:r>
      <w:r/>
    </w:p>
    <w:p>
      <w:pPr>
        <w:ind w:left="1083" w:hanging="1083"/>
        <w:tabs>
          <w:tab w:val="left" w:pos="5746" w:leader="none"/>
        </w:tabs>
      </w:pPr>
      <w:r>
        <w:tab/>
      </w:r>
      <w:r>
        <w:tab/>
      </w:r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</w:pPr>
      <w:r/>
      <w:r/>
    </w:p>
    <w:p>
      <w:pPr>
        <w:ind w:left="1083" w:hanging="1083"/>
        <w:tabs>
          <w:tab w:val="left" w:pos="5746" w:leader="none"/>
        </w:tabs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60"/>
        <w:jc w:val="center"/>
        <w:keepLines w:val="0"/>
        <w:keepNext w:val="0"/>
        <w:spacing w:before="0"/>
        <w:rPr>
          <w:rFonts w:ascii="Times New Roman" w:hAnsi="Times New Roman" w:eastAsia="SimSun" w:cs="Times New Roman"/>
          <w:b/>
          <w:bCs/>
          <w:iCs/>
          <w:color w:val="auto"/>
          <w:sz w:val="28"/>
          <w:szCs w:val="28"/>
        </w:rPr>
      </w:pPr>
      <w:r>
        <w:rPr>
          <w:rFonts w:ascii="Times New Roman" w:hAnsi="Times New Roman" w:eastAsia="SimSun" w:cs="Times New Roman"/>
          <w:b/>
          <w:bCs/>
          <w:iCs/>
          <w:color w:val="auto"/>
          <w:sz w:val="28"/>
          <w:szCs w:val="28"/>
        </w:rPr>
        <w:t xml:space="preserve">ТЕХНИЧЕСКАЯ ЧАСТЬ</w:t>
      </w:r>
      <w:r>
        <w:rPr>
          <w:rFonts w:ascii="Times New Roman" w:hAnsi="Times New Roman" w:eastAsia="SimSun" w:cs="Times New Roman"/>
          <w:b/>
          <w:bCs/>
          <w:iCs/>
          <w:color w:val="auto"/>
          <w:sz w:val="28"/>
          <w:szCs w:val="28"/>
        </w:rPr>
      </w:r>
      <w:r>
        <w:rPr>
          <w:rFonts w:ascii="Times New Roman" w:hAnsi="Times New Roman" w:eastAsia="SimSun" w:cs="Times New Roman"/>
          <w:b/>
          <w:bCs/>
          <w:iCs/>
          <w:color w:val="auto"/>
          <w:sz w:val="28"/>
          <w:szCs w:val="28"/>
        </w:rPr>
      </w:r>
    </w:p>
    <w:p>
      <w:pPr>
        <w:pStyle w:val="1083"/>
        <w:jc w:val="center"/>
        <w:rPr>
          <w:b/>
        </w:rPr>
      </w:pPr>
      <w:r>
        <w:rPr>
          <w:b/>
        </w:rPr>
        <w:t xml:space="preserve"> (Техническое задание)</w:t>
      </w:r>
      <w:r>
        <w:rPr>
          <w:b/>
        </w:rPr>
      </w:r>
      <w:r>
        <w:rPr>
          <w:b/>
        </w:rPr>
      </w:r>
    </w:p>
    <w:p>
      <w:pPr>
        <w:pStyle w:val="1083"/>
        <w:jc w:val="center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83"/>
        <w:jc w:val="center"/>
        <w:rPr>
          <w:b/>
          <w:highlight w:val="none"/>
        </w:rPr>
      </w:pPr>
      <w:r>
        <w:rPr>
          <w:b/>
          <w:highlight w:val="none"/>
        </w:rPr>
        <w:t xml:space="preserve">для организации и проведения сравнения цен в электронной форме, участниками которого могут быть </w:t>
      </w:r>
      <w:r>
        <w:rPr>
          <w:b/>
          <w:highlight w:val="none"/>
        </w:rPr>
        <w:t xml:space="preserve">любые лица</w:t>
      </w:r>
      <w:r>
        <w:rPr>
          <w:b/>
          <w:highlight w:val="none"/>
        </w:rPr>
      </w:r>
      <w:r>
        <w:rPr>
          <w:b/>
          <w:highlight w:val="none"/>
        </w:rPr>
      </w:r>
    </w:p>
    <w:p>
      <w:pPr>
        <w:pStyle w:val="1083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на право заключения договора </w:t>
      </w:r>
      <w:r>
        <w:rPr>
          <w:b/>
          <w:sz w:val="24"/>
          <w:szCs w:val="24"/>
        </w:rPr>
        <w:t xml:space="preserve">на </w:t>
      </w:r>
      <w:bookmarkStart w:id="0" w:name="_GoBack"/>
      <w:r>
        <w:rPr>
          <w:b/>
          <w:bCs/>
          <w:sz w:val="24"/>
          <w:szCs w:val="24"/>
        </w:rPr>
      </w:r>
      <w:bookmarkEnd w:id="0"/>
      <w:r>
        <w:rPr>
          <w:b/>
          <w:sz w:val="24"/>
          <w:szCs w:val="24"/>
        </w:rPr>
        <w:t xml:space="preserve">поставку </w:t>
      </w:r>
      <w:r>
        <w:rPr>
          <w:rFonts w:ascii="Times New Roman" w:hAnsi="Times New Roman" w:eastAsia="Times New Roman" w:cs="Times New Roman"/>
          <w:b/>
          <w:bCs/>
          <w:color w:val="000000"/>
          <w:sz w:val="24"/>
          <w:szCs w:val="24"/>
        </w:rPr>
        <w:t xml:space="preserve">базовых носителей регистрационных, идентификационных и информационных данных, размещаемых на подстанциях и линиях электропередачи</w:t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 xml:space="preserve">(ПЭ)</w:t>
      </w:r>
      <w:r>
        <w:rPr>
          <w:rFonts w:ascii="Times New Roman" w:hAnsi="Times New Roman" w:eastAsia="Times New Roman" w:cs="Times New Roman"/>
          <w:b/>
          <w:bCs/>
          <w:sz w:val="24"/>
          <w:szCs w:val="24"/>
        </w:rPr>
        <w:t xml:space="preserve"> </w:t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</w:r>
      <w:r>
        <w:rPr>
          <w:b/>
          <w:sz w:val="24"/>
          <w:szCs w:val="24"/>
        </w:rPr>
      </w:r>
      <w:r>
        <w:rPr>
          <w:b/>
          <w:sz w:val="24"/>
          <w:szCs w:val="24"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both"/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jc w:val="center"/>
        <w:rPr>
          <w:b/>
        </w:rPr>
      </w:pPr>
      <w:r>
        <w:rPr>
          <w:b/>
        </w:rPr>
        <w:t xml:space="preserve">г. </w:t>
      </w:r>
      <w:r>
        <w:rPr>
          <w:b/>
        </w:rPr>
        <w:t xml:space="preserve">Пермь</w:t>
      </w:r>
      <w:r>
        <w:rPr>
          <w:b/>
        </w:rPr>
      </w:r>
      <w:r>
        <w:rPr>
          <w:b/>
        </w:rPr>
      </w:r>
    </w:p>
    <w:p>
      <w:pPr>
        <w:jc w:val="center"/>
        <w:rPr>
          <w:b/>
        </w:rPr>
        <w:sectPr>
          <w:footerReference w:type="default" r:id="rId9"/>
          <w:footerReference w:type="even" r:id="rId10"/>
          <w:footnotePr/>
          <w:endnotePr/>
          <w:type w:val="nextPage"/>
          <w:pgSz w:w="11906" w:h="16838" w:orient="portrait"/>
          <w:pgMar w:top="1134" w:right="850" w:bottom="1134" w:left="1701" w:header="708" w:footer="708" w:gutter="0"/>
          <w:cols w:num="1" w:sep="0" w:space="708" w:equalWidth="1"/>
          <w:docGrid w:linePitch="360"/>
          <w:titlePg/>
        </w:sectPr>
      </w:pPr>
      <w:r>
        <w:rPr>
          <w:b/>
        </w:rPr>
        <w:t xml:space="preserve">2026</w:t>
      </w:r>
      <w:r>
        <w:rPr>
          <w:b/>
        </w:rPr>
        <w:t xml:space="preserve"> год</w:t>
      </w:r>
      <w:r>
        <w:rPr>
          <w:b/>
        </w:rPr>
      </w:r>
      <w:r>
        <w:rPr>
          <w:b/>
        </w:rPr>
      </w:r>
    </w:p>
    <w:p>
      <w:pPr>
        <w:pStyle w:val="1060"/>
        <w:numPr>
          <w:ilvl w:val="0"/>
          <w:numId w:val="44"/>
        </w:numPr>
        <w:ind w:left="0" w:firstLine="0"/>
        <w:jc w:val="both"/>
        <w:keepLines w:val="0"/>
        <w:keepNext w:val="0"/>
        <w:spacing w:before="0"/>
        <w:tabs>
          <w:tab w:val="left" w:pos="284" w:leader="none"/>
        </w:tabs>
        <w:rPr>
          <w:rFonts w:ascii="Times New Roman" w:hAnsi="Times New Roman" w:eastAsia="SimSun" w:cs="Times New Roman"/>
          <w:b/>
          <w:bCs/>
          <w:iCs/>
          <w:color w:val="auto"/>
        </w:rPr>
      </w:pPr>
      <w:r>
        <w:rPr>
          <w:rFonts w:ascii="Times New Roman" w:hAnsi="Times New Roman" w:eastAsia="SimSun" w:cs="Times New Roman"/>
          <w:b/>
          <w:bCs/>
          <w:iCs/>
          <w:color w:val="auto"/>
        </w:rPr>
      </w:r>
      <w:r>
        <w:rPr>
          <w:rFonts w:ascii="Times New Roman" w:hAnsi="Times New Roman" w:eastAsia="SimSun" w:cs="Times New Roman"/>
          <w:b/>
          <w:bCs/>
          <w:iCs/>
          <w:color w:val="auto"/>
          <w:highlight w:val="none"/>
        </w:rPr>
        <w:t xml:space="preserve">Общие сведения о предмете </w:t>
      </w:r>
      <w:r>
        <w:rPr>
          <w:rFonts w:ascii="Times New Roman" w:hAnsi="Times New Roman" w:eastAsia="SimSun" w:cs="Times New Roman"/>
          <w:b/>
          <w:bCs/>
          <w:iCs/>
          <w:color w:val="auto"/>
          <w:highlight w:val="none"/>
        </w:rPr>
        <w:t xml:space="preserve">сравнения цен</w:t>
      </w:r>
      <w:r>
        <w:rPr>
          <w:rFonts w:ascii="Times New Roman" w:hAnsi="Times New Roman" w:eastAsia="SimSun" w:cs="Times New Roman"/>
          <w:b/>
          <w:bCs/>
          <w:iCs/>
          <w:color w:val="auto"/>
          <w:highlight w:val="none"/>
        </w:rPr>
        <w:t xml:space="preserve"> в электронной форме, участниками которого могут быть </w:t>
      </w:r>
      <w:r>
        <w:rPr>
          <w:rFonts w:ascii="Times New Roman" w:hAnsi="Times New Roman" w:eastAsia="SimSun" w:cs="Times New Roman"/>
          <w:b/>
          <w:bCs/>
          <w:iCs/>
          <w:color w:val="auto"/>
          <w:highlight w:val="none"/>
        </w:rPr>
        <w:t xml:space="preserve">любые лица</w:t>
      </w:r>
      <w:r>
        <w:rPr>
          <w:rFonts w:ascii="Times New Roman" w:hAnsi="Times New Roman" w:eastAsia="Times New Roman" w:cs="Times New Roman"/>
          <w:b/>
          <w:bCs/>
          <w:iCs/>
          <w:color w:val="000000" w:themeColor="text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iCs/>
          <w:color w:val="000000" w:themeColor="text1"/>
        </w:rPr>
        <w:t xml:space="preserve">(да</w:t>
      </w:r>
      <w:r>
        <w:rPr>
          <w:rFonts w:ascii="Times New Roman" w:hAnsi="Times New Roman" w:eastAsia="SimSun" w:cs="Times New Roman"/>
          <w:b/>
          <w:bCs/>
          <w:iCs/>
          <w:color w:val="auto"/>
        </w:rPr>
        <w:t xml:space="preserve">лее - закупка):</w:t>
      </w:r>
      <w:r>
        <w:rPr>
          <w:rFonts w:ascii="Times New Roman" w:hAnsi="Times New Roman" w:eastAsia="SimSun" w:cs="Times New Roman"/>
          <w:b/>
          <w:bCs/>
          <w:iCs/>
          <w:color w:val="auto"/>
        </w:rPr>
      </w:r>
      <w:r>
        <w:rPr>
          <w:rFonts w:ascii="Times New Roman" w:hAnsi="Times New Roman" w:eastAsia="SimSun" w:cs="Times New Roman"/>
          <w:b/>
          <w:bCs/>
          <w:iCs/>
          <w:color w:val="auto"/>
        </w:rPr>
      </w:r>
    </w:p>
    <w:p>
      <w:r/>
      <w:r/>
    </w:p>
    <w:p>
      <w:pPr>
        <w:pStyle w:val="1080"/>
        <w:numPr>
          <w:ilvl w:val="1"/>
          <w:numId w:val="20"/>
        </w:numPr>
        <w:ind w:left="0" w:firstLine="0"/>
        <w:jc w:val="both"/>
        <w:tabs>
          <w:tab w:val="left" w:pos="426" w:leader="none"/>
        </w:tabs>
        <w:rPr>
          <w:b/>
        </w:rPr>
      </w:pPr>
      <w:r>
        <w:rPr>
          <w:b/>
        </w:rPr>
        <w:t xml:space="preserve">Предмет закупки:</w:t>
      </w:r>
      <w:r>
        <w:rPr>
          <w:b/>
        </w:rPr>
      </w:r>
      <w:r>
        <w:rPr>
          <w:b/>
        </w:rPr>
      </w:r>
    </w:p>
    <w:p>
      <w:pPr>
        <w:jc w:val="both"/>
        <w:tabs>
          <w:tab w:val="left" w:pos="426" w:leader="none"/>
          <w:tab w:val="left" w:pos="8931" w:leader="none"/>
        </w:tabs>
        <w:rPr>
          <w:i/>
          <w:sz w:val="24"/>
          <w:szCs w:val="24"/>
        </w:rPr>
      </w:pPr>
      <w:r>
        <w:t xml:space="preserve">Право заключения договор</w:t>
      </w:r>
      <w:r>
        <w:t xml:space="preserve">а</w:t>
      </w:r>
      <w:r>
        <w:rPr>
          <w:sz w:val="24"/>
          <w:szCs w:val="24"/>
        </w:rPr>
        <w:t xml:space="preserve"> на </w:t>
      </w:r>
      <w:r>
        <w:rPr>
          <w:sz w:val="24"/>
          <w:szCs w:val="24"/>
        </w:rPr>
        <w:t xml:space="preserve">поставку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4"/>
          <w:szCs w:val="24"/>
        </w:rPr>
        <w:t xml:space="preserve">базовых носителей регистрационных, идентификационных и информационных данных, размещаемых на подстанциях и линиях электропередачи</w:t>
      </w:r>
      <w:r>
        <w:rPr>
          <w:rFonts w:ascii="Times New Roman" w:hAnsi="Times New Roman" w:eastAsia="Times New Roman" w:cs="Times New Roman"/>
          <w:b w:val="0"/>
          <w:bCs w:val="0"/>
          <w:sz w:val="24"/>
          <w:szCs w:val="24"/>
        </w:rPr>
        <w:t xml:space="preserve"> </w:t>
      </w:r>
      <w:r>
        <w:rPr>
          <w:sz w:val="24"/>
          <w:szCs w:val="24"/>
        </w:rPr>
        <w:t xml:space="preserve">(ПЭ</w:t>
      </w:r>
      <w:r>
        <w:rPr>
          <w:sz w:val="24"/>
          <w:szCs w:val="24"/>
        </w:rPr>
        <w:t xml:space="preserve">)</w:t>
      </w:r>
      <w:r>
        <w:rPr>
          <w:sz w:val="24"/>
          <w:szCs w:val="24"/>
        </w:rPr>
        <w:t xml:space="preserve">.</w:t>
      </w:r>
      <w:r>
        <w:rPr>
          <w:sz w:val="24"/>
          <w:szCs w:val="24"/>
        </w:rPr>
        <w:t xml:space="preserve"> </w:t>
      </w:r>
      <w:r>
        <w:rPr>
          <w:i/>
          <w:sz w:val="24"/>
          <w:szCs w:val="24"/>
        </w:rPr>
      </w:r>
      <w:r>
        <w:rPr>
          <w:i/>
          <w:sz w:val="24"/>
          <w:szCs w:val="24"/>
        </w:rPr>
      </w:r>
    </w:p>
    <w:p>
      <w:pPr>
        <w:jc w:val="both"/>
        <w:tabs>
          <w:tab w:val="left" w:pos="426" w:leader="none"/>
          <w:tab w:val="left" w:pos="8931" w:leader="none"/>
        </w:tabs>
        <w:rPr>
          <w:color w:val="000000" w:themeColor="text1"/>
        </w:rPr>
      </w:pPr>
      <w:r>
        <w:rPr>
          <w:color w:val="000000" w:themeColor="text1"/>
        </w:rPr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numPr>
          <w:ilvl w:val="1"/>
          <w:numId w:val="20"/>
        </w:numPr>
        <w:ind w:left="0" w:firstLine="0"/>
        <w:jc w:val="both"/>
        <w:tabs>
          <w:tab w:val="left" w:pos="426" w:leader="none"/>
          <w:tab w:val="left" w:pos="709" w:leader="none"/>
        </w:tabs>
        <w:rPr>
          <w:b/>
        </w:rPr>
      </w:pPr>
      <w:r>
        <w:rPr>
          <w:b/>
        </w:rPr>
        <w:t xml:space="preserve">Основание для проведения закупки:</w:t>
      </w:r>
      <w:r>
        <w:rPr>
          <w:b/>
        </w:rPr>
      </w:r>
      <w:r>
        <w:rPr>
          <w:b/>
        </w:rPr>
      </w:r>
    </w:p>
    <w:p>
      <w:pPr>
        <w:jc w:val="both"/>
        <w:tabs>
          <w:tab w:val="left" w:pos="426" w:leader="none"/>
          <w:tab w:val="left" w:pos="709" w:leader="none"/>
        </w:tabs>
      </w:pPr>
      <w:r>
        <w:t xml:space="preserve">План закупок 2026 года, з</w:t>
      </w:r>
      <w:r>
        <w:t xml:space="preserve">акупка/лот (ID заявки) №61404.</w:t>
      </w:r>
      <w:r>
        <w:rPr>
          <w:b/>
        </w:rPr>
      </w:r>
      <w:r/>
    </w:p>
    <w:p>
      <w:pPr>
        <w:jc w:val="both"/>
        <w:tabs>
          <w:tab w:val="left" w:pos="426" w:leader="none"/>
          <w:tab w:val="left" w:pos="709" w:leader="none"/>
        </w:tabs>
        <w:rPr>
          <w:b/>
          <w:bCs/>
        </w:rPr>
      </w:pPr>
      <w:r>
        <w:t xml:space="preserve"> </w:t>
      </w:r>
      <w:r>
        <w:rPr>
          <w:b/>
          <w:bCs/>
        </w:rPr>
      </w:r>
      <w:r>
        <w:rPr>
          <w:b/>
          <w:bCs/>
        </w:rPr>
      </w:r>
    </w:p>
    <w:p>
      <w:pPr>
        <w:numPr>
          <w:ilvl w:val="1"/>
          <w:numId w:val="20"/>
        </w:numPr>
        <w:ind w:left="0" w:firstLine="0"/>
        <w:jc w:val="both"/>
        <w:tabs>
          <w:tab w:val="left" w:pos="426" w:leader="none"/>
          <w:tab w:val="left" w:pos="709" w:leader="none"/>
        </w:tabs>
        <w:rPr>
          <w:b/>
        </w:rPr>
      </w:pPr>
      <w:r>
        <w:rPr>
          <w:b/>
        </w:rPr>
        <w:t xml:space="preserve">Заказчик: </w:t>
      </w:r>
      <w:r>
        <w:t xml:space="preserve">ПАО «</w:t>
      </w:r>
      <w:r>
        <w:t xml:space="preserve">Россети</w:t>
      </w:r>
      <w:r>
        <w:t xml:space="preserve"> Урал»-филиал «Пермэнерго».</w:t>
      </w:r>
      <w:r>
        <w:rPr>
          <w:b/>
        </w:rPr>
      </w:r>
      <w:r>
        <w:rPr>
          <w:b/>
        </w:rPr>
      </w:r>
    </w:p>
    <w:p>
      <w:pPr>
        <w:numPr>
          <w:ilvl w:val="1"/>
          <w:numId w:val="20"/>
        </w:numPr>
        <w:ind w:left="0" w:firstLine="0"/>
        <w:jc w:val="both"/>
        <w:tabs>
          <w:tab w:val="left" w:pos="426" w:leader="none"/>
          <w:tab w:val="left" w:pos="709" w:leader="none"/>
        </w:tabs>
        <w:rPr>
          <w:rFonts w:eastAsia="MS Mincho"/>
          <w:lang w:eastAsia="ja-JP"/>
        </w:rPr>
      </w:pPr>
      <w:r>
        <w:rPr>
          <w:b/>
        </w:rPr>
        <w:t xml:space="preserve">Место</w:t>
      </w:r>
      <w:r>
        <w:t xml:space="preserve"> </w:t>
      </w:r>
      <w:r>
        <w:rPr>
          <w:b/>
        </w:rPr>
        <w:t xml:space="preserve">поставки: </w:t>
      </w:r>
      <w:r>
        <w:t xml:space="preserve">территория Пермского края</w:t>
      </w:r>
      <w:r>
        <w:rPr>
          <w:rFonts w:eastAsia="MS Mincho"/>
          <w:lang w:eastAsia="ja-JP"/>
        </w:rPr>
        <w:t xml:space="preserve">.</w:t>
      </w:r>
      <w:r>
        <w:rPr>
          <w:rFonts w:eastAsia="MS Mincho"/>
          <w:lang w:eastAsia="ja-JP"/>
        </w:rPr>
      </w:r>
      <w:r>
        <w:rPr>
          <w:rFonts w:eastAsia="MS Mincho"/>
          <w:lang w:eastAsia="ja-JP"/>
        </w:rPr>
      </w:r>
    </w:p>
    <w:p>
      <w:pPr>
        <w:ind w:left="0" w:firstLine="0"/>
        <w:jc w:val="both"/>
        <w:tabs>
          <w:tab w:val="left" w:pos="426" w:leader="none"/>
          <w:tab w:val="left" w:pos="709" w:leader="none"/>
        </w:tabs>
        <w:rPr>
          <w:rFonts w:eastAsia="MS Mincho"/>
          <w:lang w:eastAsia="ja-JP"/>
        </w:rPr>
      </w:pPr>
      <w:r>
        <w:rPr>
          <w:rFonts w:eastAsia="MS Mincho"/>
          <w:highlight w:val="none"/>
          <w:lang w:eastAsia="ja-JP"/>
        </w:rPr>
      </w:r>
      <w:r>
        <w:rPr>
          <w:rFonts w:eastAsia="MS Mincho"/>
          <w:lang w:eastAsia="ja-JP"/>
        </w:rPr>
      </w:r>
      <w:r>
        <w:rPr>
          <w:rFonts w:eastAsia="MS Mincho"/>
          <w:lang w:eastAsia="ja-JP"/>
        </w:rPr>
      </w:r>
    </w:p>
    <w:p>
      <w:pPr>
        <w:pStyle w:val="1080"/>
        <w:numPr>
          <w:ilvl w:val="1"/>
          <w:numId w:val="20"/>
        </w:numPr>
        <w:ind w:left="0" w:firstLine="0"/>
        <w:jc w:val="both"/>
        <w:tabs>
          <w:tab w:val="left" w:pos="284" w:leader="none"/>
          <w:tab w:val="left" w:pos="426" w:leader="none"/>
          <w:tab w:val="left" w:pos="720" w:leader="none"/>
        </w:tabs>
        <w:rPr>
          <w:b/>
          <w:bCs/>
        </w:rPr>
      </w:pPr>
      <w:r>
        <w:rPr>
          <w:b/>
          <w:bCs/>
        </w:rPr>
        <w:t xml:space="preserve">Срок </w:t>
      </w:r>
      <w:r>
        <w:rPr>
          <w:b/>
          <w:bCs/>
        </w:rPr>
        <w:t xml:space="preserve">поставки</w:t>
      </w:r>
      <w:r>
        <w:rPr>
          <w:rStyle w:val="1093"/>
          <w:b/>
          <w:bCs/>
        </w:rPr>
        <w:footnoteReference w:id="2"/>
      </w:r>
      <w:r>
        <w:rPr>
          <w:b/>
          <w:bCs/>
        </w:rPr>
        <w:t xml:space="preserve">: </w:t>
      </w:r>
      <w:r>
        <w:rPr>
          <w:b/>
          <w:bCs/>
        </w:rPr>
      </w:r>
      <w:r>
        <w:rPr>
          <w:b/>
          <w:bCs/>
        </w:rPr>
      </w:r>
    </w:p>
    <w:p>
      <w:pPr>
        <w:pStyle w:val="1080"/>
        <w:ind w:left="0"/>
        <w:jc w:val="both"/>
      </w:pPr>
      <w:r>
        <w:t xml:space="preserve">Потребность  3 квартала 202</w:t>
      </w:r>
      <w:r>
        <w:t xml:space="preserve">6</w:t>
      </w:r>
      <w:r>
        <w:t xml:space="preserve">:</w:t>
      </w:r>
      <w:r>
        <w:t xml:space="preserve"> </w:t>
      </w:r>
      <w:r>
        <w:t xml:space="preserve">в течение 60 календарных дней с момента заключения договора;</w:t>
      </w:r>
      <w:r/>
    </w:p>
    <w:p>
      <w:r/>
      <w:r/>
    </w:p>
    <w:p>
      <w:pPr>
        <w:ind w:left="0" w:firstLine="0"/>
        <w:jc w:val="both"/>
        <w:tabs>
          <w:tab w:val="left" w:pos="709" w:leader="none"/>
        </w:tabs>
        <w:rPr>
          <w:highlight w:val="none"/>
        </w:rPr>
      </w:pPr>
      <w:r>
        <w:t xml:space="preserve">1.5.1. </w:t>
      </w:r>
      <w:r>
        <w:rPr>
          <w:highlight w:val="none"/>
        </w:rPr>
        <w:t xml:space="preserve">Участник закупки должен </w:t>
      </w:r>
      <w:r>
        <w:rPr>
          <w:highlight w:val="none"/>
        </w:rPr>
        <w:t xml:space="preserve">осуществить</w:t>
      </w:r>
      <w:r>
        <w:rPr>
          <w:highlight w:val="none"/>
        </w:rPr>
        <w:t xml:space="preserve"> </w:t>
      </w:r>
      <w:r>
        <w:rPr>
          <w:highlight w:val="none"/>
        </w:rPr>
        <w:t xml:space="preserve">поставку продукции</w:t>
      </w:r>
      <w:r>
        <w:rPr>
          <w:highlight w:val="none"/>
        </w:rPr>
        <w:t xml:space="preserve"> </w:t>
      </w:r>
      <w:r>
        <w:rPr>
          <w:highlight w:val="none"/>
        </w:rPr>
        <w:t xml:space="preserve">в требуемых объемах и </w:t>
      </w:r>
      <w:r>
        <w:rPr>
          <w:highlight w:val="none"/>
        </w:rPr>
        <w:t xml:space="preserve">не позднее </w:t>
      </w:r>
      <w:r>
        <w:rPr>
          <w:highlight w:val="none"/>
        </w:rPr>
        <w:t xml:space="preserve">сроков</w:t>
      </w:r>
      <w:r>
        <w:rPr>
          <w:highlight w:val="none"/>
        </w:rPr>
        <w:t xml:space="preserve">, приведенных в </w:t>
      </w:r>
      <w:r>
        <w:rPr>
          <w:highlight w:val="none"/>
        </w:rPr>
        <w:t xml:space="preserve">Ценовом</w:t>
      </w:r>
      <w:r>
        <w:rPr>
          <w:highlight w:val="none"/>
        </w:rPr>
        <w:t xml:space="preserve"> предложении (Приложение №</w:t>
      </w:r>
      <w:r>
        <w:rPr>
          <w:highlight w:val="none"/>
        </w:rPr>
        <w:t xml:space="preserve">4</w:t>
      </w:r>
      <w:r>
        <w:rPr>
          <w:highlight w:val="none"/>
        </w:rPr>
        <w:t xml:space="preserve"> </w:t>
      </w:r>
      <w:r>
        <w:rPr>
          <w:highlight w:val="none"/>
        </w:rPr>
        <w:t xml:space="preserve">к </w:t>
      </w:r>
      <w:r>
        <w:rPr>
          <w:highlight w:val="none"/>
        </w:rPr>
        <w:t xml:space="preserve">Техническому заданию</w:t>
      </w:r>
      <w:r>
        <w:rPr>
          <w:highlight w:val="none"/>
        </w:rPr>
        <w:t xml:space="preserve">). Заявки, не обеспечивающие </w:t>
      </w:r>
      <w:r>
        <w:rPr>
          <w:highlight w:val="none"/>
        </w:rPr>
        <w:t xml:space="preserve">поставку продукции </w:t>
      </w:r>
      <w:r>
        <w:rPr>
          <w:highlight w:val="none"/>
        </w:rPr>
        <w:t xml:space="preserve">в указанные сроки, к участию в закупке не допускаются.</w:t>
      </w:r>
      <w:r>
        <w:rPr>
          <w:highlight w:val="none"/>
        </w:rPr>
      </w:r>
      <w:r>
        <w:rPr>
          <w:highlight w:val="none"/>
        </w:rPr>
      </w:r>
    </w:p>
    <w:p>
      <w:pPr>
        <w:pStyle w:val="1080"/>
        <w:ind w:left="0"/>
        <w:jc w:val="both"/>
        <w:tabs>
          <w:tab w:val="left" w:pos="142" w:leader="none"/>
        </w:tabs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numPr>
          <w:ilvl w:val="1"/>
          <w:numId w:val="20"/>
        </w:numPr>
        <w:ind w:left="0" w:firstLine="0"/>
        <w:jc w:val="both"/>
        <w:tabs>
          <w:tab w:val="left" w:pos="426" w:leader="none"/>
        </w:tabs>
      </w:pPr>
      <w:r>
        <w:rPr>
          <w:b/>
        </w:rPr>
        <w:t xml:space="preserve">Источник финансирования: </w:t>
      </w:r>
      <w:r>
        <w:t xml:space="preserve">Основная деятельность</w:t>
      </w:r>
      <w:r>
        <w:t xml:space="preserve">, </w:t>
      </w:r>
      <w:r>
        <w:t xml:space="preserve"> </w:t>
      </w:r>
      <w:r>
        <w:t xml:space="preserve">Инвестиции (Материалы ТП), </w:t>
      </w:r>
      <w:r>
        <w:t xml:space="preserve">Инвестиции (Материалы КС).</w:t>
      </w:r>
      <w:r/>
    </w:p>
    <w:p>
      <w:pPr>
        <w:numPr>
          <w:ilvl w:val="1"/>
          <w:numId w:val="20"/>
        </w:numPr>
        <w:ind w:left="0" w:firstLine="0"/>
        <w:jc w:val="both"/>
        <w:tabs>
          <w:tab w:val="left" w:pos="426" w:leader="none"/>
        </w:tabs>
        <w:rPr>
          <w:b/>
        </w:rPr>
      </w:pPr>
      <w:r>
        <w:rPr>
          <w:b/>
        </w:rPr>
        <w:t xml:space="preserve">Ценовые показатели:</w:t>
      </w:r>
      <w:r>
        <w:rPr>
          <w:b/>
        </w:rPr>
      </w:r>
      <w:r>
        <w:rPr>
          <w:b/>
        </w:rPr>
      </w:r>
    </w:p>
    <w:tbl>
      <w:tblPr>
        <w:tblW w:w="10206" w:type="dxa"/>
        <w:tblInd w:w="108" w:type="dxa"/>
        <w:tblLook w:val="04A0" w:firstRow="1" w:lastRow="0" w:firstColumn="1" w:lastColumn="0" w:noHBand="0" w:noVBand="1"/>
      </w:tblPr>
      <w:tblGrid>
        <w:gridCol w:w="1238"/>
        <w:gridCol w:w="2346"/>
        <w:gridCol w:w="2346"/>
        <w:gridCol w:w="2214"/>
        <w:gridCol w:w="2062"/>
      </w:tblGrid>
      <w:tr>
        <w:tblPrEx/>
        <w:trPr>
          <w:trHeight w:val="433"/>
        </w:trPr>
        <w:tc>
          <w:tcPr>
            <w:shd w:val="clear" w:color="auto" w:fill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238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</w:rPr>
            </w:pPr>
            <w:r>
              <w:rPr>
                <w:color w:val="000000" w:themeColor="text1"/>
                <w:sz w:val="20"/>
                <w:szCs w:val="20"/>
              </w:rPr>
              <w:t xml:space="preserve">Закупка/лот (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 xml:space="preserve">ID</w:t>
            </w:r>
            <w:r>
              <w:rPr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заявки)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shd w:val="clear" w:color="auto" w:fill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346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Наименование лота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shd w:val="clear" w:color="auto" w:fill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346" w:type="dxa"/>
            <w:vAlign w:val="center"/>
            <w:textDirection w:val="lrTb"/>
            <w:noWrap w:val="false"/>
          </w:tcPr>
          <w:p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sz w:val="20"/>
                <w:szCs w:val="20"/>
              </w:rPr>
              <w:t xml:space="preserve">Начальная (максимальная) цена в руб. с НДС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shd w:val="clear" w:color="auto" w:fill="auto"/>
            <w:tcBorders>
              <w:top w:val="single" w:color="auto" w:sz="4" w:space="0"/>
              <w:left w:val="none" w:color="000000" w:sz="4" w:space="0"/>
              <w:bottom w:val="single" w:color="auto" w:sz="4" w:space="0"/>
              <w:right w:val="single" w:color="auto" w:sz="4" w:space="0"/>
            </w:tcBorders>
            <w:tcW w:w="2214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</w:t>
            </w:r>
            <w:r>
              <w:rPr>
                <w:sz w:val="20"/>
                <w:szCs w:val="20"/>
              </w:rPr>
              <w:t xml:space="preserve">т.ч</w:t>
            </w:r>
            <w:r>
              <w:rPr>
                <w:sz w:val="20"/>
                <w:szCs w:val="20"/>
              </w:rPr>
              <w:t xml:space="preserve">. НДС, 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  <w:p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%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shd w:val="clear" w:color="auto" w:fill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tcW w:w="2062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Код ОКПД2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trHeight w:val="386"/>
        </w:trPr>
        <w:tc>
          <w:tcPr>
            <w:shd w:val="clear" w:color="auto" w:fill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1238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61404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shd w:val="clear" w:color="auto" w:fill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346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Пост</w:t>
            </w:r>
            <w:r>
              <w:rPr>
                <w:sz w:val="20"/>
                <w:szCs w:val="20"/>
              </w:rPr>
              <w:t xml:space="preserve">авка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b w:val="0"/>
                <w:bCs w:val="0"/>
                <w:color w:val="000000"/>
                <w:sz w:val="20"/>
                <w:szCs w:val="20"/>
              </w:rPr>
              <w:t xml:space="preserve">базовых носителей регистрационных, идентификационных и информационных данных, размещаемых на подстанциях и линиях электропередачи</w:t>
            </w:r>
            <w:r>
              <w:rPr>
                <w:rFonts w:ascii="Times New Roman" w:hAnsi="Times New Roman" w:eastAsia="Times New Roman" w:cs="Times New Roman"/>
                <w:b w:val="0"/>
                <w:bCs w:val="0"/>
                <w:color w:val="000000"/>
                <w:sz w:val="20"/>
                <w:szCs w:val="20"/>
              </w:rPr>
              <w:t xml:space="preserve"> (ПЭ)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shd w:val="clear" w:color="auto" w:fill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346" w:type="dxa"/>
            <w:vAlign w:val="center"/>
            <w:textDirection w:val="lrTb"/>
            <w:noWrap w:val="false"/>
          </w:tcPr>
          <w:p>
            <w:pPr>
              <w:jc w:val="center"/>
              <w:spacing w:before="0" w:after="0" w:line="57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zCs w:val="20"/>
              </w:rPr>
              <w:t xml:space="preserve">140 078,57</w:t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  <w:r>
              <w:rPr>
                <w:rFonts w:ascii="Times New Roman" w:hAnsi="Times New Roman" w:cs="Times New Roman"/>
                <w:sz w:val="20"/>
                <w:szCs w:val="20"/>
              </w:rPr>
            </w:r>
          </w:p>
        </w:tc>
        <w:tc>
          <w:tcPr>
            <w:shd w:val="clear" w:color="auto" w:fill="auto"/>
            <w:tcBorders>
              <w:top w:val="single" w:color="auto" w:sz="4" w:space="0"/>
              <w:left w:val="none" w:color="000000" w:sz="4" w:space="0"/>
              <w:bottom w:val="single" w:color="auto" w:sz="4" w:space="0"/>
              <w:right w:val="single" w:color="auto" w:sz="4" w:space="0"/>
            </w:tcBorders>
            <w:tcW w:w="2214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22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  <w:tc>
          <w:tcPr>
            <w:shd w:val="clear" w:color="auto" w:fill="auto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W w:w="2062" w:type="dxa"/>
            <w:vAlign w:val="center"/>
            <w:textDirection w:val="lrTb"/>
            <w:noWrap w:val="false"/>
          </w:tcPr>
          <w:p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22.29.29.190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</w:tbl>
    <w:p>
      <w:pPr>
        <w:jc w:val="both"/>
        <w:tabs>
          <w:tab w:val="num" w:pos="0" w:leader="none"/>
        </w:tabs>
      </w:pPr>
      <w:r>
        <w:tab/>
      </w:r>
      <w:r>
        <w:t xml:space="preserve">Начальная (максимальная) ц</w:t>
      </w:r>
      <w:r>
        <w:t xml:space="preserve">ена договора включает в себя: все затраты, накладные расходы, налоги, пошлины, таможенные платежи, страхование и прочие сборы, которые поставщик (подрядчик, исполнитель) договора должен оплачивать в соответствии с условиями договора или на иных основаниях.</w:t>
      </w:r>
      <w:r/>
    </w:p>
    <w:p>
      <w:pPr>
        <w:jc w:val="both"/>
        <w:tabs>
          <w:tab w:val="num" w:pos="0" w:leader="none"/>
        </w:tabs>
      </w:pPr>
      <w:r>
        <w:tab/>
      </w:r>
      <w:r>
        <w:rPr>
          <w:b/>
        </w:rPr>
        <w:tab/>
      </w:r>
      <w:r/>
    </w:p>
    <w:p>
      <w:pPr>
        <w:pStyle w:val="1080"/>
        <w:numPr>
          <w:ilvl w:val="1"/>
          <w:numId w:val="20"/>
        </w:numPr>
        <w:ind w:left="0" w:firstLine="0"/>
        <w:jc w:val="both"/>
        <w:widowControl w:val="off"/>
        <w:tabs>
          <w:tab w:val="num" w:pos="426" w:leader="none"/>
        </w:tabs>
        <w:rPr>
          <w:sz w:val="22"/>
        </w:rPr>
      </w:pPr>
      <w:r>
        <w:rPr>
          <w:b/>
        </w:rPr>
        <w:t xml:space="preserve">Условия оплаты:</w:t>
      </w:r>
      <w:r>
        <w:rPr>
          <w:sz w:val="22"/>
        </w:rPr>
      </w:r>
      <w:r>
        <w:rPr>
          <w:sz w:val="22"/>
        </w:rPr>
      </w:r>
    </w:p>
    <w:p>
      <w:pPr>
        <w:jc w:val="both"/>
        <w:widowControl w:val="off"/>
        <w:tabs>
          <w:tab w:val="num" w:pos="0" w:leader="none"/>
        </w:tabs>
      </w:pPr>
      <w:r>
        <w:t xml:space="preserve">Оплата производится за продукцию по безналичному расчету путем перечисления денежных средств на расчетный счет По</w:t>
      </w:r>
      <w:r>
        <w:t xml:space="preserve">ставщика в течение 30 (тридцати)</w:t>
      </w:r>
      <w:r>
        <w:t xml:space="preserve"> </w:t>
      </w:r>
      <w:r>
        <w:t xml:space="preserve">рабочих </w:t>
      </w:r>
      <w:r>
        <w:t xml:space="preserve">дней со дня подписания Покупателем (Грузополучателем) документа о приемке продукции при наличии подписанного Сторонами Договора поставки продукции в оригинале, в соответствии с п.</w:t>
      </w:r>
      <w:r>
        <w:t xml:space="preserve">2.4.</w:t>
      </w:r>
      <w:r>
        <w:t xml:space="preserve"> Договора (Приложение №2 к настоящему ТЗ).</w:t>
      </w:r>
      <w:r/>
    </w:p>
    <w:p>
      <w:pPr>
        <w:jc w:val="both"/>
        <w:widowControl w:val="off"/>
        <w:tabs>
          <w:tab w:val="num" w:pos="0" w:leader="none"/>
        </w:tabs>
      </w:pPr>
      <w:r/>
      <w:r/>
    </w:p>
    <w:p>
      <w:pPr>
        <w:pStyle w:val="1068"/>
        <w:numPr>
          <w:ilvl w:val="1"/>
          <w:numId w:val="27"/>
        </w:numPr>
        <w:jc w:val="both"/>
        <w:widowControl w:val="off"/>
        <w:rPr>
          <w:b/>
          <w:sz w:val="24"/>
        </w:rPr>
      </w:pPr>
      <w:r>
        <w:rPr>
          <w:b/>
          <w:sz w:val="24"/>
        </w:rPr>
        <w:t xml:space="preserve">Требования, предъявляемые к поставке продукции:</w:t>
      </w:r>
      <w:r>
        <w:rPr>
          <w:b/>
          <w:sz w:val="24"/>
        </w:rPr>
      </w:r>
      <w:r>
        <w:rPr>
          <w:b/>
          <w:sz w:val="24"/>
        </w:rPr>
      </w:r>
    </w:p>
    <w:p>
      <w:pPr>
        <w:ind w:left="0" w:firstLine="0"/>
        <w:jc w:val="both"/>
        <w:widowControl w:val="off"/>
        <w:rPr>
          <w:highlight w:val="none"/>
        </w:rPr>
      </w:pPr>
      <w:r>
        <w:rPr>
          <w:highlight w:val="none"/>
        </w:rPr>
        <w:t xml:space="preserve">1.9.1.</w:t>
      </w:r>
      <w:r>
        <w:rPr>
          <w:highlight w:val="none"/>
        </w:rPr>
        <w:t xml:space="preserve">Поставка продукции осуществляется автомобильным транспортном в адрес Грузополучателей силами и за счёт Поставщика в соответствии с объемом, указанным в приложении №</w:t>
      </w:r>
      <w:r>
        <w:rPr>
          <w:highlight w:val="none"/>
        </w:rPr>
        <w:t xml:space="preserve">4</w:t>
      </w:r>
      <w:r>
        <w:rPr>
          <w:highlight w:val="none"/>
        </w:rPr>
        <w:t xml:space="preserve"> к настоящему ТЗ</w:t>
      </w:r>
      <w:r>
        <w:rPr>
          <w:highlight w:val="none"/>
        </w:rPr>
        <w:t xml:space="preserve">. Досрочная поставка продукции и иные способы отгрузки могут производиться только по письменному согласованию с Заказчиком.</w:t>
      </w:r>
      <w:r>
        <w:rPr>
          <w:highlight w:val="none"/>
        </w:rPr>
      </w:r>
      <w:r>
        <w:rPr>
          <w:highlight w:val="none"/>
        </w:rPr>
      </w:r>
    </w:p>
    <w:p>
      <w:pPr>
        <w:ind w:left="0" w:firstLine="0"/>
        <w:jc w:val="both"/>
        <w:widowControl w:val="off"/>
        <w:rPr>
          <w:highlight w:val="none"/>
        </w:rPr>
      </w:pPr>
      <w:r>
        <w:rPr>
          <w:highlight w:val="none"/>
        </w:rPr>
        <w:t xml:space="preserve">1.9.2. Поставляемая продукция должна быть упакована соо</w:t>
      </w:r>
      <w:r>
        <w:rPr>
          <w:highlight w:val="none"/>
        </w:rPr>
        <w:t xml:space="preserve">тветственно данному виду продукции, нормам фасовки (объём, схема, целостность упаковки и т.д.), с соблюдением требований ГОСТ, принятым заводом изготовителем, а также должна быть рассортирована и доставлена в объеме и номенклатуре, указанным в приложении №</w:t>
      </w:r>
      <w:r>
        <w:rPr>
          <w:highlight w:val="none"/>
        </w:rPr>
        <w:t xml:space="preserve">4</w:t>
      </w:r>
      <w:r>
        <w:rPr>
          <w:highlight w:val="none"/>
        </w:rPr>
        <w:t xml:space="preserve"> к настоящему ТЗ </w:t>
      </w:r>
      <w:r>
        <w:rPr>
          <w:highlight w:val="none"/>
        </w:rPr>
        <w:t xml:space="preserve">в производственные отделения филиалов </w:t>
      </w:r>
      <w:r>
        <w:rPr>
          <w:highlight w:val="none"/>
        </w:rPr>
        <w:t xml:space="preserve">П</w:t>
      </w:r>
      <w:r>
        <w:rPr>
          <w:highlight w:val="none"/>
        </w:rPr>
        <w:t xml:space="preserve">АО «</w:t>
      </w:r>
      <w:r>
        <w:rPr>
          <w:highlight w:val="none"/>
        </w:rPr>
        <w:t xml:space="preserve">Россети Урал</w:t>
      </w:r>
      <w:r>
        <w:rPr>
          <w:highlight w:val="none"/>
        </w:rPr>
        <w:t xml:space="preserve">», согласно реквизитов Грузополучателей, указанных в приложении №</w:t>
      </w:r>
      <w:r>
        <w:rPr>
          <w:highlight w:val="none"/>
        </w:rPr>
        <w:t xml:space="preserve">3</w:t>
      </w:r>
      <w:r>
        <w:rPr>
          <w:highlight w:val="none"/>
        </w:rPr>
        <w:t xml:space="preserve"> к настоящему ТЗ, в установленные сроки. </w:t>
      </w:r>
      <w:r>
        <w:rPr>
          <w:highlight w:val="none"/>
        </w:rPr>
      </w:r>
      <w:r>
        <w:rPr>
          <w:highlight w:val="none"/>
        </w:rPr>
      </w:r>
    </w:p>
    <w:p>
      <w:pPr>
        <w:ind w:left="0" w:firstLine="0"/>
        <w:jc w:val="both"/>
        <w:widowControl w:val="off"/>
        <w:rPr>
          <w:highlight w:val="none"/>
        </w:rPr>
      </w:pPr>
      <w:r>
        <w:rPr>
          <w:highlight w:val="none"/>
        </w:rPr>
        <w:t xml:space="preserve">1.9.3. Вместе с поставкой продукции должна быть предоставлена соответствующая техническая документация (паспорта, инструкции и пр.), копии сертификатов, заверенные Поставщиком. </w:t>
      </w:r>
      <w:r>
        <w:rPr>
          <w:highlight w:val="none"/>
        </w:rPr>
      </w:r>
      <w:r>
        <w:rPr>
          <w:highlight w:val="none"/>
        </w:rPr>
      </w:r>
    </w:p>
    <w:p>
      <w:pPr>
        <w:pStyle w:val="1080"/>
        <w:ind w:left="0"/>
        <w:jc w:val="both"/>
        <w:widowControl w:val="off"/>
        <w:tabs>
          <w:tab w:val="left" w:pos="426" w:leader="none"/>
        </w:tabs>
        <w:rPr>
          <w:b/>
        </w:rPr>
      </w:pPr>
      <w:r>
        <w:rPr>
          <w:b/>
        </w:rPr>
      </w:r>
      <w:r>
        <w:rPr>
          <w:b/>
        </w:rPr>
      </w:r>
      <w:r>
        <w:rPr>
          <w:b/>
        </w:rPr>
      </w:r>
    </w:p>
    <w:p>
      <w:pPr>
        <w:pStyle w:val="1080"/>
        <w:numPr>
          <w:ilvl w:val="1"/>
          <w:numId w:val="27"/>
        </w:numPr>
        <w:jc w:val="both"/>
        <w:widowControl w:val="off"/>
        <w:tabs>
          <w:tab w:val="left" w:pos="709" w:leader="none"/>
        </w:tabs>
      </w:pPr>
      <w:r>
        <w:rPr>
          <w:b/>
        </w:rPr>
        <w:t xml:space="preserve">Требования, предъявляемые к продукции:</w:t>
      </w:r>
      <w:r/>
    </w:p>
    <w:p>
      <w:pPr>
        <w:ind w:left="0" w:firstLine="0"/>
        <w:jc w:val="both"/>
        <w:widowControl w:val="off"/>
      </w:pPr>
      <w:r>
        <w:rPr>
          <w:highlight w:val="none"/>
        </w:rPr>
      </w:r>
      <w:r>
        <w:rPr>
          <w:highlight w:val="none"/>
        </w:rPr>
        <w:t xml:space="preserve">1.10.1. Продукция, указанная в </w:t>
      </w:r>
      <w:r>
        <w:rPr>
          <w:highlight w:val="none"/>
        </w:rPr>
        <w:t xml:space="preserve">п</w:t>
      </w:r>
      <w:r>
        <w:rPr>
          <w:highlight w:val="none"/>
        </w:rPr>
        <w:t xml:space="preserve">риложении </w:t>
      </w:r>
      <w:r>
        <w:rPr>
          <w:highlight w:val="none"/>
        </w:rPr>
        <w:t xml:space="preserve">№</w:t>
      </w:r>
      <w:r>
        <w:rPr>
          <w:highlight w:val="none"/>
        </w:rPr>
        <w:t xml:space="preserve">4</w:t>
      </w:r>
      <w:r>
        <w:rPr>
          <w:highlight w:val="none"/>
        </w:rPr>
        <w:t xml:space="preserve"> к настоящему ТЗ </w:t>
      </w:r>
      <w:r>
        <w:rPr>
          <w:highlight w:val="none"/>
        </w:rPr>
        <w:t xml:space="preserve">по качеству должна соответствовать требованиям ГОСТ и ТУ, иметь сертификаты соответствия качества</w:t>
      </w:r>
      <w:r>
        <w:rPr>
          <w:highlight w:val="none"/>
        </w:rPr>
        <w:t xml:space="preserve"> завода-изготовителя, сертификаты соответствия Госстандарта России, декларации о соответствии, сертификаты происхождения, санитарно-эпидемиологические заключения, пожарные сертификаты, если продукция подлежит сертификации, паспорта на каждую партию продукц</w:t>
      </w:r>
      <w:r>
        <w:rPr>
          <w:highlight w:val="none"/>
        </w:rPr>
        <w:t xml:space="preserve">ии. Продукция не должна иметь дефектов, связанных с конструкцией, материалами или работоспособностью, либо скрытых дефектов, проявляющихся в результате действия Заказчика (использование продукции) при допустимой эксплуатации в условиях обычных для России. </w:t>
      </w:r>
      <w:r/>
    </w:p>
    <w:p>
      <w:pPr>
        <w:jc w:val="both"/>
        <w:widowControl w:val="off"/>
      </w:pPr>
      <w:r>
        <w:t xml:space="preserve">Поставляемые материалы и оборудование должны соответствовать техническим требованиям ПАО «</w:t>
      </w:r>
      <w:r>
        <w:t xml:space="preserve">Россети</w:t>
      </w:r>
      <w:r>
        <w:t xml:space="preserve">» и иметь копию заключения о Проверке качества, подтверждающего возможность применения продукции на объектах группы компаний «</w:t>
      </w:r>
      <w:r>
        <w:t xml:space="preserve">Россети</w:t>
      </w:r>
      <w:r>
        <w:t xml:space="preserve">» либо подтверждение включения продукции в Перечень допущенного оборудования, либо подтверждение положительной либо завершенной Проверки качества продукции на момент поставки оборудования (В соответствии с п.4.3.4.Договора - Приложение №2 к настоящему ТЗ)</w:t>
      </w:r>
      <w:r>
        <w:rPr>
          <w:vertAlign w:val="superscript"/>
        </w:rPr>
        <w:t xml:space="preserve">[</w:t>
      </w:r>
      <w:r>
        <w:rPr>
          <w:rStyle w:val="1093"/>
        </w:rPr>
        <w:footnoteReference w:id="3"/>
      </w:r>
      <w:r>
        <w:rPr>
          <w:vertAlign w:val="superscript"/>
        </w:rPr>
        <w:t xml:space="preserve">]</w:t>
      </w:r>
      <w:r>
        <w:t xml:space="preserve">. </w:t>
      </w:r>
      <w:r/>
    </w:p>
    <w:p>
      <w:pPr>
        <w:ind w:left="0" w:firstLine="0"/>
        <w:jc w:val="both"/>
      </w:pPr>
      <w:r>
        <w:t xml:space="preserve">1.10.2. </w:t>
      </w:r>
      <w:r>
        <w:t xml:space="preserve">Вся поставляемая продукция по техническим характеристикам должна соответствовать опросным листам, чертежам, приложенным к приложению №4 к Извещению (при условии их наличия в ТЗ).</w:t>
      </w:r>
      <w:r/>
    </w:p>
    <w:p>
      <w:pPr>
        <w:ind w:left="0" w:firstLine="0"/>
        <w:jc w:val="both"/>
        <w:widowControl w:val="off"/>
        <w:tabs>
          <w:tab w:val="left" w:pos="709" w:leader="none"/>
        </w:tabs>
      </w:pPr>
      <w:r>
        <w:t xml:space="preserve">1.10.3. Участник имеет право предложить эквивалент заказываемой продукции, соответствующий техническим требованиям Заказчика, с предоставлением документов, подтверждающих соответствие параметров эквивалента техническим требованиям за</w:t>
      </w:r>
      <w:r>
        <w:t xml:space="preserve">казываемой продукции и опросным листам, чертежам (при их наличии). Решение о согласовании/не согласовании замены требуемой продукции аналогом принимается закупочной комиссией на этапе рассмотрения заявок Участников и отражается в соответствующем Протоколе.</w:t>
      </w:r>
      <w:r/>
    </w:p>
    <w:p>
      <w:pPr>
        <w:ind w:left="0" w:firstLine="0"/>
        <w:jc w:val="both"/>
        <w:widowControl w:val="off"/>
        <w:tabs>
          <w:tab w:val="left" w:pos="709" w:leader="none"/>
        </w:tabs>
      </w:pPr>
      <w:r>
        <w:t xml:space="preserve">1.10.4. Факторы, оказывающие вредные воздействия на здоровье со стороны продукции не должны превышать действующих норм для обслуживающего и ремонтного персо</w:t>
      </w:r>
      <w:r>
        <w:t xml:space="preserve">нала. Поставляемые товары должны соответствовать требованиям экологическим, санитарно-гигиеническим, противопожарным и другим нормам, действующим на территории Российской Федерации, и обеспечивать безопасную для жизни и здоровья людей эксплуатацию объекта.</w:t>
      </w:r>
      <w:r/>
    </w:p>
    <w:p>
      <w:pPr>
        <w:ind w:left="0" w:firstLine="0"/>
        <w:jc w:val="both"/>
        <w:widowControl w:val="off"/>
        <w:tabs>
          <w:tab w:val="left" w:pos="567" w:leader="none"/>
        </w:tabs>
      </w:pPr>
      <w:r>
        <w:t xml:space="preserve">1.10.5. Продукция должна быть новой (ранее не использованной), являться серийной моделью, отражающей все последние модификации и не снятой с производства производителем на момент поставки. </w:t>
      </w:r>
      <w:r>
        <w:t xml:space="preserve">Срок изготовления </w:t>
      </w:r>
      <w:r>
        <w:t xml:space="preserve">не ранее 4</w:t>
      </w:r>
      <w:r>
        <w:t xml:space="preserve"> квартала 202</w:t>
      </w:r>
      <w:r>
        <w:t xml:space="preserve">5</w:t>
      </w:r>
      <w:r>
        <w:t xml:space="preserve">г.</w:t>
      </w:r>
      <w:r/>
    </w:p>
    <w:p>
      <w:pPr>
        <w:ind w:left="0" w:firstLine="0"/>
        <w:jc w:val="both"/>
        <w:tabs>
          <w:tab w:val="num" w:pos="0" w:leader="none"/>
          <w:tab w:val="left" w:pos="426" w:leader="none"/>
        </w:tabs>
        <w:rPr>
          <w:b/>
          <w:color w:val="000000" w:themeColor="text1"/>
        </w:rPr>
      </w:pPr>
      <w:r>
        <w:rPr>
          <w:b/>
          <w:color w:val="000000" w:themeColor="text1"/>
        </w:rPr>
        <w:t xml:space="preserve">1.10.6.Технические требования к продукции:</w:t>
      </w:r>
      <w:r>
        <w:rPr>
          <w:b/>
          <w:color w:val="000000" w:themeColor="text1"/>
        </w:rPr>
      </w:r>
      <w:r>
        <w:rPr>
          <w:b/>
          <w:color w:val="000000" w:themeColor="text1"/>
        </w:rPr>
      </w:r>
    </w:p>
    <w:p>
      <w:pPr>
        <w:pStyle w:val="1080"/>
        <w:ind w:left="0"/>
        <w:jc w:val="both"/>
        <w:widowControl w:val="off"/>
      </w:pPr>
      <w:r>
        <w:t xml:space="preserve">1.10.6.1.</w:t>
      </w:r>
      <w:r>
        <w:t xml:space="preserve"> </w:t>
      </w:r>
      <w:r>
        <w:t xml:space="preserve">Гарантийный срок на поставляемую продукцию должен составлять не менее 1 одного года с момента поставки продукции на склад Грузополучателя.  </w:t>
      </w:r>
      <w:r/>
    </w:p>
    <w:p>
      <w:pPr>
        <w:jc w:val="both"/>
      </w:pPr>
      <w:r>
        <w:t xml:space="preserve">1.10.6.2. </w:t>
      </w:r>
      <w:r>
        <w:t xml:space="preserve">Требования к информационным знакам, размещаемым на подстанциях и линиях электропередачи.</w:t>
      </w:r>
      <w:r/>
    </w:p>
    <w:p>
      <w:pPr>
        <w:widowControl w:val="off"/>
      </w:pPr>
      <w:r>
        <w:t xml:space="preserve">1.10.6.2.1. Стиль, информационное наполнение, материалы и способы крепления</w:t>
      </w:r>
      <w:r/>
    </w:p>
    <w:p>
      <w:pPr>
        <w:jc w:val="both"/>
        <w:widowControl w:val="off"/>
      </w:pPr>
      <w:r/>
      <w:r/>
    </w:p>
    <w:p>
      <w:pPr>
        <w:jc w:val="both"/>
        <w:widowControl w:val="off"/>
      </w:pPr>
      <w:r/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167817</wp:posOffset>
                </wp:positionV>
                <wp:extent cx="5581015" cy="2216150"/>
                <wp:effectExtent l="0" t="0" r="635" b="0"/>
                <wp:wrapTopAndBottom/>
                <wp:docPr id="1" name="Рисунок 5" descr="D:\РОССЕТИ\2018\Знаки стиль\Рисунки\Расцветка фаз ПС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02661629" name="Picture 19" descr="D:\РОССЕТИ\2018\Знаки стиль\Рисунки\Расцветка фаз П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rcRect l="2575" t="15714" r="4849" b="38902"/>
                        <a:stretch/>
                      </pic:blipFill>
                      <pic:spPr bwMode="auto">
                        <a:xfrm>
                          <a:off x="0" y="0"/>
                          <a:ext cx="5581014" cy="22161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51659264;o:allowoverlap:true;o:allowincell:true;mso-position-horizontal-relative:margin;mso-position-horizontal:center;mso-position-vertical-relative:text;margin-top:13.21pt;mso-position-vertical:absolute;width:439.45pt;height:174.50pt;mso-wrap-distance-left:9.00pt;mso-wrap-distance-top:0.00pt;mso-wrap-distance-right:9.00pt;mso-wrap-distance-bottom:0.00pt;" stroked="f">
                <v:path textboxrect="0,0,0,0"/>
                <w10:wrap type="topAndBottom"/>
                <v:imagedata r:id="rId12" o:title=""/>
              </v:shape>
            </w:pict>
          </mc:Fallback>
        </mc:AlternateContent>
      </w:r>
      <w:r>
        <w:t xml:space="preserve">Рисунок 1 Пример обозначения расцветки фаз на ПС</w:t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0288" behindDoc="0" locked="0" layoutInCell="1" allowOverlap="1">
                <wp:simplePos x="0" y="0"/>
                <wp:positionH relativeFrom="margin">
                  <wp:posOffset>-224790</wp:posOffset>
                </wp:positionH>
                <wp:positionV relativeFrom="paragraph">
                  <wp:posOffset>290298</wp:posOffset>
                </wp:positionV>
                <wp:extent cx="6479540" cy="1552575"/>
                <wp:effectExtent l="0" t="0" r="0" b="9525"/>
                <wp:wrapTopAndBottom/>
                <wp:docPr id="2" name="Рисунок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6425860" name="Таблички на оборудование П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rcRect l="6727" t="41857" r="1259" b="23720"/>
                        <a:stretch/>
                      </pic:blipFill>
                      <pic:spPr bwMode="auto">
                        <a:xfrm>
                          <a:off x="0" y="0"/>
                          <a:ext cx="6479539" cy="155257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251660288;o:allowoverlap:true;o:allowincell:true;mso-position-horizontal-relative:margin;margin-left:-17.70pt;mso-position-horizontal:absolute;mso-position-vertical-relative:text;margin-top:22.86pt;mso-position-vertical:absolute;width:510.20pt;height:122.25pt;mso-wrap-distance-left:9.00pt;mso-wrap-distance-top:0.00pt;mso-wrap-distance-right:9.00pt;mso-wrap-distance-bottom:0.00pt;" stroked="f">
                <v:path textboxrect="0,0,0,0"/>
                <w10:wrap type="topAndBottom"/>
                <v:imagedata r:id="rId13" o:title=""/>
              </v:shape>
            </w:pict>
          </mc:Fallback>
        </mc:AlternateContent>
      </w:r>
      <w:r/>
    </w:p>
    <w:p>
      <w:pPr>
        <w:ind w:left="540"/>
        <w:jc w:val="center"/>
      </w:pPr>
      <w:r>
        <w:t xml:space="preserve">Рисунок 2 Примеры исполнения постоянных знаков на ПС</w:t>
      </w:r>
      <w:r/>
    </w:p>
    <w:p>
      <w:pPr>
        <w:ind w:left="540"/>
        <w:jc w:val="both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1729105</wp:posOffset>
                </wp:positionH>
                <wp:positionV relativeFrom="paragraph">
                  <wp:posOffset>211942</wp:posOffset>
                </wp:positionV>
                <wp:extent cx="2565400" cy="1551940"/>
                <wp:effectExtent l="0" t="0" r="6350" b="0"/>
                <wp:wrapTopAndBottom/>
                <wp:docPr id="3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09973105" name="Расстояние от ВЛ до КЛС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rcRect l="33750" t="43082" r="29843" b="22836"/>
                        <a:stretch/>
                      </pic:blipFill>
                      <pic:spPr bwMode="auto">
                        <a:xfrm>
                          <a:off x="0" y="0"/>
                          <a:ext cx="2565399" cy="15519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251661312;o:allowoverlap:true;o:allowincell:true;mso-position-horizontal-relative:margin;margin-left:136.15pt;mso-position-horizontal:absolute;mso-position-vertical-relative:text;margin-top:16.69pt;mso-position-vertical:absolute;width:202.00pt;height:122.20pt;mso-wrap-distance-left:9.00pt;mso-wrap-distance-top:0.00pt;mso-wrap-distance-right:9.00pt;mso-wrap-distance-bottom:0.00pt;" stroked="f">
                <v:path textboxrect="0,0,0,0"/>
                <w10:wrap type="topAndBottom"/>
                <v:imagedata r:id="rId14" o:title=""/>
              </v:shape>
            </w:pict>
          </mc:Fallback>
        </mc:AlternateContent>
      </w:r>
      <w:r/>
    </w:p>
    <w:p>
      <w:pPr>
        <w:ind w:left="540"/>
        <w:jc w:val="center"/>
        <w:widowControl w:val="off"/>
      </w:pPr>
      <w:r>
        <w:t xml:space="preserve">Рисунок 3 Пример обозначения расстояния от опоры ВЛ до кабельной линии связи</w:t>
      </w:r>
      <w:r/>
    </w:p>
    <w:p>
      <w:pPr>
        <w:ind w:left="540"/>
        <w:jc w:val="center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667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206375</wp:posOffset>
                </wp:positionV>
                <wp:extent cx="3132455" cy="2054225"/>
                <wp:effectExtent l="0" t="0" r="0" b="3175"/>
                <wp:wrapTopAndBottom/>
                <wp:docPr id="4" name="Рисунок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68267357" name="Муфта ОК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rcRect l="11474" t="31508" r="51338" b="28836"/>
                        <a:stretch/>
                      </pic:blipFill>
                      <pic:spPr bwMode="auto">
                        <a:xfrm>
                          <a:off x="0" y="0"/>
                          <a:ext cx="3132454" cy="2054224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z-index:251676672;o:allowoverlap:true;o:allowincell:true;mso-position-horizontal-relative:margin;mso-position-horizontal:center;mso-position-vertical-relative:text;margin-top:16.25pt;mso-position-vertical:absolute;width:246.65pt;height:161.75pt;mso-wrap-distance-left:9.00pt;mso-wrap-distance-top:0.00pt;mso-wrap-distance-right:9.00pt;mso-wrap-distance-bottom:0.00pt;" stroked="f">
                <v:path textboxrect="0,0,0,0"/>
                <w10:wrap type="topAndBottom"/>
                <v:imagedata r:id="rId15" o:title=""/>
              </v:shape>
            </w:pict>
          </mc:Fallback>
        </mc:AlternateContent>
      </w:r>
      <w:r/>
    </w:p>
    <w:p>
      <w:pPr>
        <w:ind w:left="540"/>
        <w:jc w:val="center"/>
      </w:pPr>
      <w:r>
        <w:t xml:space="preserve">Рисунок 4 Пример знака размещения муфты оптического кабеля ВОЛС на опоре ВЛ</w:t>
      </w:r>
      <w:r/>
    </w:p>
    <w:p>
      <w:pPr>
        <w:ind w:left="540"/>
        <w:jc w:val="center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564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286413</wp:posOffset>
                </wp:positionV>
                <wp:extent cx="2373630" cy="1963420"/>
                <wp:effectExtent l="0" t="0" r="7620" b="0"/>
                <wp:wrapTopAndBottom/>
                <wp:docPr id="5" name="Рисунок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40054795" name="Авиа знак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rcRect l="30203" t="30656" r="38405" b="27108"/>
                        <a:stretch/>
                      </pic:blipFill>
                      <pic:spPr bwMode="auto">
                        <a:xfrm>
                          <a:off x="0" y="0"/>
                          <a:ext cx="2373629" cy="196341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z-index:251675648;o:allowoverlap:true;o:allowincell:true;mso-position-horizontal-relative:margin;mso-position-horizontal:center;mso-position-vertical-relative:text;margin-top:22.55pt;mso-position-vertical:absolute;width:186.90pt;height:154.60pt;mso-wrap-distance-left:9.00pt;mso-wrap-distance-top:0.00pt;mso-wrap-distance-right:9.00pt;mso-wrap-distance-bottom:0.00pt;" stroked="f">
                <v:path textboxrect="0,0,0,0"/>
                <w10:wrap type="topAndBottom"/>
                <v:imagedata r:id="rId16" o:title=""/>
              </v:shape>
            </w:pict>
          </mc:Fallback>
        </mc:AlternateContent>
      </w:r>
      <w:r/>
    </w:p>
    <w:p>
      <w:pPr>
        <w:ind w:left="540"/>
        <w:jc w:val="center"/>
      </w:pPr>
      <w:r/>
      <w:r/>
    </w:p>
    <w:p>
      <w:pPr>
        <w:ind w:left="540"/>
        <w:jc w:val="center"/>
      </w:pPr>
      <w:r>
        <w:t xml:space="preserve">Рисунок 5 Пример знака, устанавливаемого в верхней части опоры ВЛ, обслуживаемой с использованием пилотируемой авиационной техники</w:t>
      </w:r>
      <w:r/>
    </w:p>
    <w:p>
      <w:pPr>
        <w:ind w:left="540"/>
        <w:jc w:val="both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701039</wp:posOffset>
                </wp:positionH>
                <wp:positionV relativeFrom="paragraph">
                  <wp:posOffset>3238500</wp:posOffset>
                </wp:positionV>
                <wp:extent cx="714375" cy="714375"/>
                <wp:effectExtent l="0" t="0" r="9525" b="9525"/>
                <wp:wrapNone/>
                <wp:docPr id="6" name="Рисунок 47" descr="C:\Users\parahin-ae\AppData\Local\Microsoft\Windows\INetCache\Content.MSO\E2B3D364.t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3195295" name="Picture 1" descr="C:\Users\parahin-ae\AppData\Local\Microsoft\Windows\INetCache\Content.MSO\E2B3D364.tmp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 flipH="1">
                          <a:off x="0" y="0"/>
                          <a:ext cx="714375" cy="714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z-index:251683840;o:allowoverlap:true;o:allowincell:true;mso-position-horizontal-relative:text;margin-left:55.20pt;mso-position-horizontal:absolute;mso-position-vertical-relative:text;margin-top:255.00pt;mso-position-vertical:absolute;width:56.25pt;height:56.25pt;mso-wrap-distance-left:9.00pt;mso-wrap-distance-top:0.00pt;mso-wrap-distance-right:9.00pt;mso-wrap-distance-bottom:0.00pt;flip:x;" stroked="f">
                <v:path textboxrect="0,0,0,0"/>
                <v:imagedata r:id="rId17" o:title="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586105</wp:posOffset>
                </wp:positionH>
                <wp:positionV relativeFrom="paragraph">
                  <wp:posOffset>423545</wp:posOffset>
                </wp:positionV>
                <wp:extent cx="5076825" cy="3783330"/>
                <wp:effectExtent l="19050" t="19050" r="28575" b="26670"/>
                <wp:wrapTopAndBottom/>
                <wp:docPr id="7" name="Рисунок 4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3505298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rcRect l="18515" t="16303" r="24700" b="8450"/>
                        <a:stretch/>
                      </pic:blipFill>
                      <pic:spPr bwMode="auto">
                        <a:xfrm>
                          <a:off x="0" y="0"/>
                          <a:ext cx="5076824" cy="3783330"/>
                        </a:xfrm>
                        <a:prstGeom prst="rect">
                          <a:avLst/>
                        </a:prstGeom>
                        <a:ln cmpd="sng">
                          <a:solidFill>
                            <a:sysClr val="windowText" lastClr="000000"/>
                          </a:solidFill>
                          <a:miter lim="800000"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position:absolute;z-index:251680768;o:allowoverlap:true;o:allowincell:true;mso-position-horizontal-relative:text;margin-left:46.15pt;mso-position-horizontal:absolute;mso-position-vertical-relative:text;margin-top:33.35pt;mso-position-vertical:absolute;width:399.75pt;height:297.90pt;mso-wrap-distance-left:9.00pt;mso-wrap-distance-top:0.00pt;mso-wrap-distance-right:9.00pt;mso-wrap-distance-bottom:0.00pt;" strokecolor="#000000">
                <v:path textboxrect="0,0,0,0"/>
                <w10:wrap type="topAndBottom"/>
                <v:imagedata r:id="rId18" o:title=""/>
              </v:shape>
            </w:pict>
          </mc:Fallback>
        </mc:AlternateContent>
      </w:r>
      <w:r/>
    </w:p>
    <w:p>
      <w:pPr>
        <w:ind w:left="540"/>
        <w:jc w:val="both"/>
        <w:rPr>
          <w:i/>
        </w:rPr>
      </w:pPr>
      <w:r>
        <w:rPr>
          <w:i/>
        </w:rPr>
      </w:r>
      <w:r>
        <w:rPr>
          <w:i/>
        </w:rPr>
      </w:r>
      <w:r>
        <w:rPr>
          <w:i/>
        </w:rPr>
      </w:r>
    </w:p>
    <w:p>
      <w:pPr>
        <w:ind w:left="540"/>
        <w:jc w:val="both"/>
        <w:rPr>
          <w:i/>
        </w:rPr>
      </w:pPr>
      <w:r>
        <w:rPr>
          <w:i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3005455</wp:posOffset>
                </wp:positionV>
                <wp:extent cx="714375" cy="714375"/>
                <wp:effectExtent l="0" t="0" r="9525" b="9525"/>
                <wp:wrapNone/>
                <wp:docPr id="8" name="Рисунок 48" descr="C:\Users\parahin-ae\AppData\Local\Microsoft\Windows\INetCache\Content.MSO\E2B3D364.t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25396101" name="Picture 1" descr="C:\Users\parahin-ae\AppData\Local\Microsoft\Windows\INetCache\Content.MSO\E2B3D364.tmp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 flipH="1">
                          <a:off x="0" y="0"/>
                          <a:ext cx="714375" cy="714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position:absolute;z-index:251684864;o:allowoverlap:true;o:allowincell:true;mso-position-horizontal-relative:text;margin-left:56.25pt;mso-position-horizontal:absolute;mso-position-vertical-relative:text;margin-top:236.65pt;mso-position-vertical:absolute;width:56.25pt;height:56.25pt;mso-wrap-distance-left:9.00pt;mso-wrap-distance-top:0.00pt;mso-wrap-distance-right:9.00pt;mso-wrap-distance-bottom:0.00pt;flip:x;" stroked="f">
                <v:path textboxrect="0,0,0,0"/>
                <v:imagedata r:id="rId17" o:title=""/>
              </v:shape>
            </w:pict>
          </mc:Fallback>
        </mc:AlternateContent>
      </w:r>
      <w:r>
        <w:rPr>
          <w:i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652780</wp:posOffset>
                </wp:positionH>
                <wp:positionV relativeFrom="paragraph">
                  <wp:posOffset>224155</wp:posOffset>
                </wp:positionV>
                <wp:extent cx="4886325" cy="3655060"/>
                <wp:effectExtent l="19050" t="19050" r="28575" b="21590"/>
                <wp:wrapTopAndBottom/>
                <wp:docPr id="9" name="Рисунок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1660015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rcRect l="18873" t="15674" r="24328" b="8787"/>
                        <a:stretch/>
                      </pic:blipFill>
                      <pic:spPr bwMode="auto">
                        <a:xfrm>
                          <a:off x="0" y="0"/>
                          <a:ext cx="4886324" cy="3655059"/>
                        </a:xfrm>
                        <a:prstGeom prst="rect">
                          <a:avLst/>
                        </a:prstGeom>
                        <a:ln>
                          <a:solidFill>
                            <a:sysClr val="windowText" lastClr="000000"/>
                          </a:solidFill>
                          <a:miter lim="800000"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position:absolute;z-index:251681792;o:allowoverlap:true;o:allowincell:true;mso-position-horizontal-relative:text;margin-left:51.40pt;mso-position-horizontal:absolute;mso-position-vertical-relative:text;margin-top:17.65pt;mso-position-vertical:absolute;width:384.75pt;height:287.80pt;mso-wrap-distance-left:9.00pt;mso-wrap-distance-top:0.00pt;mso-wrap-distance-right:9.00pt;mso-wrap-distance-bottom:0.00pt;" strokecolor="#000000">
                <v:path textboxrect="0,0,0,0"/>
                <w10:wrap type="topAndBottom"/>
                <v:imagedata r:id="rId19" o:title=""/>
              </v:shape>
            </w:pict>
          </mc:Fallback>
        </mc:AlternateContent>
      </w:r>
      <w:r>
        <w:rPr>
          <w:i/>
        </w:rPr>
      </w:r>
      <w:r>
        <w:rPr>
          <w:i/>
        </w:rPr>
      </w:r>
    </w:p>
    <w:p>
      <w:pPr>
        <w:ind w:left="540"/>
        <w:jc w:val="both"/>
        <w:rPr>
          <w:i/>
        </w:rPr>
      </w:pPr>
      <w:r>
        <w:rPr>
          <w:i/>
        </w:rPr>
      </w:r>
      <w:r>
        <w:rPr>
          <w:i/>
        </w:rPr>
      </w:r>
      <w:r>
        <w:rPr>
          <w:i/>
        </w:rPr>
      </w:r>
    </w:p>
    <w:p>
      <w:pPr>
        <w:ind w:left="540"/>
        <w:jc w:val="center"/>
      </w:pPr>
      <w:r>
        <w:t xml:space="preserve">Рисунки 6.1 Примеры знаков, размещаемых на опоре ВЛ</w:t>
      </w:r>
      <w:r/>
    </w:p>
    <w:p>
      <w:pPr>
        <w:ind w:left="540"/>
        <w:jc w:val="center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7696" behindDoc="0" locked="0" layoutInCell="1" allowOverlap="1">
                <wp:simplePos x="0" y="0"/>
                <wp:positionH relativeFrom="margin">
                  <wp:posOffset>314325</wp:posOffset>
                </wp:positionH>
                <wp:positionV relativeFrom="paragraph">
                  <wp:posOffset>457835</wp:posOffset>
                </wp:positionV>
                <wp:extent cx="5657850" cy="4013200"/>
                <wp:effectExtent l="0" t="0" r="0" b="6350"/>
                <wp:wrapTopAndBottom/>
                <wp:docPr id="10" name="Рисунок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7231620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5657850" cy="40131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position:absolute;z-index:251677696;o:allowoverlap:true;o:allowincell:true;mso-position-horizontal-relative:margin;margin-left:24.75pt;mso-position-horizontal:absolute;mso-position-vertical-relative:text;margin-top:36.05pt;mso-position-vertical:absolute;width:445.50pt;height:316.00pt;mso-wrap-distance-left:9.00pt;mso-wrap-distance-top:0.00pt;mso-wrap-distance-right:9.00pt;mso-wrap-distance-bottom:0.00pt;" stroked="false">
                <v:path textboxrect="0,0,0,0"/>
                <w10:wrap type="topAndBottom"/>
                <v:imagedata r:id="rId20" o:title=""/>
              </v:shape>
            </w:pict>
          </mc:Fallback>
        </mc:AlternateContent>
      </w:r>
      <w:r>
        <w:t xml:space="preserve">(минимальный размер знака 300х400 мм, может быть пропорционально увеличен для лучшего восприятия информации)</w:t>
      </w:r>
      <w:r/>
    </w:p>
    <w:p>
      <w:pPr>
        <w:ind w:left="540"/>
        <w:jc w:val="center"/>
      </w:pPr>
      <w:r>
        <w:t xml:space="preserve">Рисунок 6.2 Примеры обозначений действующих ограничений, используемых на информационных знаках</w:t>
      </w:r>
      <w:r/>
    </w:p>
    <w:p>
      <w:r>
        <w:rPr>
          <w:sz w:val="28"/>
          <w:szCs w:val="28"/>
        </w:rPr>
      </w:r>
      <w:r/>
    </w:p>
    <w:p>
      <w:pPr>
        <w:jc w:val="center"/>
      </w:pPr>
      <w:r>
        <w:rPr>
          <w:sz w:val="28"/>
          <w:szCs w:val="28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281635" cy="3585948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1572029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rcRect l="5322" t="8254" r="5241" b="2953"/>
                        <a:stretch/>
                      </pic:blipFill>
                      <pic:spPr bwMode="auto">
                        <a:xfrm flipH="0" flipV="0">
                          <a:off x="0" y="0"/>
                          <a:ext cx="5281634" cy="35859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15.88pt;height:282.36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sz w:val="28"/>
          <w:szCs w:val="28"/>
        </w:rPr>
      </w:r>
      <w:r/>
    </w:p>
    <w:p>
      <w:pPr>
        <w:ind w:left="540"/>
        <w:jc w:val="both"/>
      </w:pPr>
      <w:r/>
      <w:r/>
    </w:p>
    <w:p>
      <w:pPr>
        <w:ind w:left="540"/>
        <w:jc w:val="center"/>
      </w:pPr>
      <w:r>
        <w:t xml:space="preserve">Рисунок 6.3. Пример информационного знака КЛ</w:t>
      </w:r>
      <w:r/>
    </w:p>
    <w:p>
      <w:pPr>
        <w:ind w:left="540"/>
        <w:jc w:val="both"/>
      </w:pPr>
      <w:r/>
      <w:r/>
    </w:p>
    <w:p>
      <w:pPr>
        <w:ind w:left="540"/>
        <w:jc w:val="both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86912" behindDoc="1" locked="0" layoutInCell="1" allowOverlap="1">
                <wp:simplePos x="0" y="0"/>
                <wp:positionH relativeFrom="column">
                  <wp:posOffset>1352867</wp:posOffset>
                </wp:positionH>
                <wp:positionV relativeFrom="paragraph">
                  <wp:posOffset>-226075</wp:posOffset>
                </wp:positionV>
                <wp:extent cx="3414395" cy="3062605"/>
                <wp:effectExtent l="0" t="0" r="0" b="4445"/>
                <wp:wrapTight wrapText="bothSides">
                  <wp:wrapPolygon edited="1">
                    <wp:start x="0" y="0"/>
                    <wp:lineTo x="0" y="21497"/>
                    <wp:lineTo x="21451" y="21497"/>
                    <wp:lineTo x="21451" y="0"/>
                    <wp:lineTo x="0" y="0"/>
                  </wp:wrapPolygon>
                </wp:wrapTight>
                <wp:docPr id="12" name="Рисунок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9452607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3414393" cy="306260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position:absolute;z-index:-251686912;o:allowoverlap:true;o:allowincell:true;mso-position-horizontal-relative:text;margin-left:106.52pt;mso-position-horizontal:absolute;mso-position-vertical-relative:text;margin-top:-17.80pt;mso-position-vertical:absolute;width:268.85pt;height:241.15pt;mso-wrap-distance-left:9.00pt;mso-wrap-distance-top:0.00pt;mso-wrap-distance-right:9.00pt;mso-wrap-distance-bottom:0.00pt;" wrapcoords="0 0 0 99523 99310 99523 99310 0 0 0" stroked="false">
                <v:path textboxrect="0,0,0,0"/>
                <w10:wrap type="tight"/>
                <v:imagedata r:id="rId22" o:title=""/>
              </v:shape>
            </w:pict>
          </mc:Fallback>
        </mc:AlternateContent>
      </w:r>
      <w:r/>
    </w:p>
    <w:p>
      <w:pPr>
        <w:ind w:left="540"/>
        <w:jc w:val="both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1653540</wp:posOffset>
                </wp:positionH>
                <wp:positionV relativeFrom="paragraph">
                  <wp:posOffset>2661285</wp:posOffset>
                </wp:positionV>
                <wp:extent cx="3000375" cy="657225"/>
                <wp:effectExtent l="38100" t="0" r="104775" b="66675"/>
                <wp:wrapNone/>
                <wp:docPr id="13" name="Группа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000375" cy="657225"/>
                          <a:chOff x="0" y="0"/>
                          <a:chExt cx="3000375" cy="657225"/>
                        </a:xfrm>
                      </wpg:grpSpPr>
                      <wps:wsp>
                        <wps:cNvPr id="0" name=""/>
                        <wps:cNvSpPr/>
                        <wps:spPr bwMode="auto">
                          <a:xfrm>
                            <a:off x="0" y="0"/>
                            <a:ext cx="0" cy="60007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" name=""/>
                        <wps:cNvSpPr/>
                        <wps:spPr bwMode="auto">
                          <a:xfrm>
                            <a:off x="3000375" y="57150"/>
                            <a:ext cx="0" cy="600075"/>
                          </a:xfrm>
                          <a:prstGeom prst="line">
                            <a:avLst/>
                          </a:prstGeom>
                          <a:noFill/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"/>
                        <wps:cNvSpPr/>
                        <wps:spPr bwMode="auto">
                          <a:xfrm flipV="1">
                            <a:off x="0" y="600075"/>
                            <a:ext cx="3000375" cy="9524"/>
                          </a:xfrm>
                          <a:prstGeom prst="straightConnector1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headEnd type="triangle"/>
                            <a:tailEnd type="triangle"/>
                          </a:ln>
                          <a:effectLst/>
                        </wps:spPr>
                        <wps:bodyPr rot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2" o:spid="_x0000_s0000" style="position:absolute;z-index:251678720;o:allowoverlap:true;o:allowincell:true;mso-position-horizontal-relative:text;margin-left:130.20pt;mso-position-horizontal:absolute;mso-position-vertical-relative:text;margin-top:209.55pt;mso-position-vertical:absolute;width:236.25pt;height:51.75pt;mso-wrap-distance-left:9.00pt;mso-wrap-distance-top:0.00pt;mso-wrap-distance-right:9.00pt;mso-wrap-distance-bottom:0.00pt;" coordorigin="0,0" coordsize="30003,6572">
                <v:line id="shape 13" o:spid="_x0000_s13" style="position:absolute;left:0;text-align:left;z-index:251678720;visibility:visible;" from="130.2pt,209.5pt" to="366.4pt,261.3pt" filled="f" strokecolor="#000000" strokeweight="1.00pt">
                  <v:stroke dashstyle="solid"/>
                </v:line>
                <v:line id="shape 14" o:spid="_x0000_s14" style="position:absolute;left:0;text-align:left;z-index:251678720;visibility:visible;" from="130.2pt,209.5pt" to="366.4pt,261.3pt" filled="f" strokecolor="#000000" strokeweight="1.00pt">
                  <v:stroke dashstyle="solid"/>
                </v:line>
                <v:shape id="shape 15" o:spid="_x0000_s15" o:spt="32" type="#_x0000_t32" style="position:absolute;left:0;top:6000;width:30003;height:95;flip:y;visibility:visible;" filled="f" strokecolor="#000000" strokeweight="0.75pt">
                  <v:stroke dashstyle="solid"/>
                </v:shape>
              </v:group>
            </w:pict>
          </mc:Fallback>
        </mc:AlternateContent>
      </w:r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both"/>
      </w:pPr>
      <w:r>
        <w:t xml:space="preserve">                                                                             300</w:t>
      </w:r>
      <w:r/>
    </w:p>
    <w:p>
      <w:pPr>
        <w:ind w:left="540"/>
        <w:jc w:val="both"/>
      </w:pPr>
      <w:r/>
      <w:r/>
    </w:p>
    <w:p>
      <w:pPr>
        <w:ind w:left="540"/>
        <w:jc w:val="both"/>
      </w:pPr>
      <w:r/>
      <w:r/>
    </w:p>
    <w:p>
      <w:pPr>
        <w:ind w:left="540"/>
        <w:jc w:val="center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1612201</wp:posOffset>
                </wp:positionH>
                <wp:positionV relativeFrom="paragraph">
                  <wp:posOffset>103824</wp:posOffset>
                </wp:positionV>
                <wp:extent cx="3024188" cy="4267200"/>
                <wp:effectExtent l="38100" t="38100" r="43180" b="57150"/>
                <wp:wrapNone/>
                <wp:docPr id="14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024186" cy="4267199"/>
                          <a:chOff x="0" y="0"/>
                          <a:chExt cx="3024186" cy="4267199"/>
                        </a:xfrm>
                      </wpg:grpSpPr>
                      <wpg:grpSp>
                        <wpg:cNvGrpSpPr/>
                        <wpg:grpSpPr bwMode="auto">
                          <a:xfrm>
                            <a:off x="0" y="3609973"/>
                            <a:ext cx="2552699" cy="657225"/>
                            <a:chOff x="0" y="0"/>
                            <a:chExt cx="2552699" cy="657225"/>
                          </a:xfrm>
                        </wpg:grpSpPr>
                        <wpg:grpSp>
                          <wpg:cNvGrpSpPr/>
                          <wpg:grpSpPr bwMode="auto">
                            <a:xfrm>
                              <a:off x="0" y="0"/>
                              <a:ext cx="2552699" cy="657225"/>
                              <a:chOff x="0" y="0"/>
                              <a:chExt cx="3000375" cy="657225"/>
                            </a:xfrm>
                          </wpg:grpSpPr>
                          <wps:wsp>
                            <wps:cNvPr id="0" name=""/>
                            <wps:cNvSpPr/>
                            <wps:spPr bwMode="auto">
                              <a:xfrm>
                                <a:off x="0" y="0"/>
                                <a:ext cx="0" cy="60007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" name=""/>
                            <wps:cNvSpPr/>
                            <wps:spPr bwMode="auto">
                              <a:xfrm>
                                <a:off x="3000375" y="57150"/>
                                <a:ext cx="0" cy="60007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" name=""/>
                            <wps:cNvSpPr/>
                            <wps:spPr bwMode="auto">
                              <a:xfrm flipV="1">
                                <a:off x="0" y="600075"/>
                                <a:ext cx="3000375" cy="95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" name="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024" y="295273"/>
                              <a:ext cx="1455419" cy="36194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25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0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GrpSpPr/>
                        <wpg:grpSpPr bwMode="auto">
                          <a:xfrm rot="16199969">
                            <a:off x="885825" y="1647824"/>
                            <a:ext cx="3786187" cy="490536"/>
                            <a:chOff x="0" y="0"/>
                            <a:chExt cx="2552699" cy="657225"/>
                          </a:xfrm>
                        </wpg:grpSpPr>
                        <wpg:grpSp>
                          <wpg:cNvGrpSpPr/>
                          <wpg:grpSpPr bwMode="auto">
                            <a:xfrm>
                              <a:off x="0" y="0"/>
                              <a:ext cx="2552699" cy="657225"/>
                              <a:chOff x="0" y="0"/>
                              <a:chExt cx="3000375" cy="657225"/>
                            </a:xfrm>
                          </wpg:grpSpPr>
                          <wps:wsp>
                            <wps:cNvPr id="4" name=""/>
                            <wps:cNvSpPr/>
                            <wps:spPr bwMode="auto">
                              <a:xfrm>
                                <a:off x="0" y="0"/>
                                <a:ext cx="0" cy="60007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/>
                              </a:ln>
                              <a:effectLst/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" name=""/>
                            <wps:cNvSpPr/>
                            <wps:spPr bwMode="auto">
                              <a:xfrm>
                                <a:off x="3000375" y="57150"/>
                                <a:ext cx="0" cy="600075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" name=""/>
                            <wps:cNvSpPr/>
                            <wps:spPr bwMode="auto">
                              <a:xfrm flipV="1">
                                <a:off x="0" y="600075"/>
                                <a:ext cx="3000375" cy="952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headEnd type="triangle"/>
                                <a:tailEnd type="triangle"/>
                              </a:ln>
                              <a:effectLst/>
                            </wps:spPr>
                            <wps:bodyPr rot="0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7" name="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1024" y="295273"/>
                              <a:ext cx="1455419" cy="361949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400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6" o:spid="_x0000_s0000" style="position:absolute;z-index:251679744;o:allowoverlap:true;o:allowincell:true;mso-position-horizontal-relative:text;margin-left:126.94pt;mso-position-horizontal:absolute;mso-position-vertical-relative:text;margin-top:8.18pt;mso-position-vertical:absolute;width:238.13pt;height:336.00pt;mso-wrap-distance-left:9.00pt;mso-wrap-distance-top:0.00pt;mso-wrap-distance-right:9.00pt;mso-wrap-distance-bottom:0.00pt;" coordorigin="0,0" coordsize="30241,42671">
                <v:group id="group 17" o:spid="_x0000_s0000" style="position:absolute;left:0;top:36099;width:25526;height:6572;" coordorigin="0,0" coordsize="25526,6572">
                  <v:group id="group 18" o:spid="_x0000_s0000" style="position:absolute;left:0;top:0;width:25526;height:6572;" coordorigin="0,0" coordsize="30003,6572">
                    <v:line id="shape 19" o:spid="_x0000_s19" style="position:absolute;left:0;text-align:left;z-index:251679744;visibility:visible;" from="126.9pt,8.2pt" to="365.1pt,344.2pt" filled="f" strokecolor="#000000" strokeweight="1.00pt">
                      <v:stroke dashstyle="solid"/>
                    </v:line>
                    <v:line id="shape 20" o:spid="_x0000_s20" style="position:absolute;left:0;text-align:left;z-index:251679744;visibility:visible;" from="126.9pt,8.2pt" to="365.1pt,344.2pt" filled="f" strokecolor="#000000" strokeweight="1.00pt">
                      <v:stroke dashstyle="solid"/>
                    </v:line>
                    <v:shape id="shape 21" o:spid="_x0000_s21" o:spt="32" type="#_x0000_t32" style="position:absolute;left:0;top:6000;width:30003;height:95;flip:y;visibility:visible;" filled="f" strokecolor="#000000" strokeweight="0.75pt">
                      <v:stroke dashstyle="solid"/>
                    </v:shape>
                  </v:group>
                  <v:shape id="shape 22" o:spid="_x0000_s22" o:spt="202" type="#_x0000_t202" style="position:absolute;left:5810;top:2952;width:14554;height:3619;v-text-anchor:top;visibility:visible;" filled="f" stroked="f" strokeweight="0.75pt">
                    <v:textbox inset="0,0,0,0">
                      <w:txbxContent>
                        <w:p>
                          <w:pPr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 xml:space="preserve">25</w:t>
                          </w:r>
                          <w:r>
                            <w:rPr>
                              <w:sz w:val="28"/>
                              <w:szCs w:val="28"/>
                            </w:rPr>
                            <w:t xml:space="preserve">0</w:t>
                          </w:r>
                          <w:r>
                            <w:rPr>
                              <w:sz w:val="28"/>
                              <w:szCs w:val="28"/>
                            </w:rPr>
                          </w:r>
                          <w:r>
                            <w:rPr>
                              <w:sz w:val="28"/>
                              <w:szCs w:val="28"/>
                            </w:rPr>
                          </w:r>
                        </w:p>
                      </w:txbxContent>
                    </v:textbox>
                  </v:shape>
                </v:group>
                <v:group id="group 23" o:spid="_x0000_s0000" style="position:absolute;left:8858;top:16478;width:37861;height:4905;rotation:269;" coordorigin="0,0" coordsize="25526,6572">
                  <v:group id="group 24" o:spid="_x0000_s0000" style="position:absolute;left:0;top:0;width:25526;height:6572;" coordorigin="0,0" coordsize="30003,6572">
                    <v:line id="shape 25" o:spid="_x0000_s25" style="position:absolute;left:0;text-align:left;z-index:251679744;visibility:visible;" from="5810.2pt,2952.7pt" to="20364.4pt,6572.2pt" filled="f" strokecolor="#000000" strokeweight="1.00pt">
                      <v:stroke dashstyle="solid"/>
                    </v:line>
                    <v:line id="shape 26" o:spid="_x0000_s26" style="position:absolute;left:0;text-align:left;z-index:251679744;visibility:visible;" from="5810.2pt,2952.7pt" to="20364.4pt,6572.2pt" filled="f" strokecolor="#000000" strokeweight="1.00pt">
                      <v:stroke dashstyle="solid"/>
                    </v:line>
                    <v:shape id="shape 27" o:spid="_x0000_s27" o:spt="32" type="#_x0000_t32" style="position:absolute;left:0;top:6000;width:30003;height:95;flip:y;visibility:visible;" filled="f" strokecolor="#000000" strokeweight="0.75pt">
                      <v:stroke dashstyle="solid"/>
                    </v:shape>
                  </v:group>
                  <v:shape id="shape 28" o:spid="_x0000_s28" o:spt="202" type="#_x0000_t202" style="position:absolute;left:5810;top:2952;width:14554;height:3619;v-text-anchor:top;visibility:visible;" filled="f" stroked="f" strokeweight="0.75pt">
                    <v:textbox inset="0,0,0,0">
                      <w:txbxContent>
                        <w:p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 xml:space="preserve">400</w:t>
                          </w:r>
                          <w:r>
                            <w:rPr>
                              <w:sz w:val="28"/>
                              <w:szCs w:val="28"/>
                            </w:rPr>
                          </w:r>
                          <w:r>
                            <w:rPr>
                              <w:sz w:val="28"/>
                              <w:szCs w:val="28"/>
                            </w:rPr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390900" cy="4695825"/>
                <wp:effectExtent l="0" t="0" r="0" b="9525"/>
                <wp:docPr id="15" name="Рисунок 27" descr="C:\Users\parahin-ae\Desktop\Безымянный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29349964" name="Picture 3" descr="C:\Users\parahin-ae\Desktop\Безымянный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3390898" cy="46958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9" o:spid="_x0000_s29" type="#_x0000_t75" style="width:267.00pt;height:369.75pt;mso-wrap-distance-left:0.00pt;mso-wrap-distance-top:0.00pt;mso-wrap-distance-right:0.00pt;mso-wrap-distance-bottom:0.00pt;" stroked="f">
                <v:path textboxrect="0,0,0,0"/>
                <v:imagedata r:id="rId23" o:title=""/>
              </v:shape>
            </w:pict>
          </mc:Fallback>
        </mc:AlternateContent>
      </w:r>
      <w:r/>
    </w:p>
    <w:p>
      <w:pPr>
        <w:ind w:left="540"/>
        <w:jc w:val="center"/>
      </w:pPr>
      <w:r>
        <w:t xml:space="preserve">Рисунок 6.4 Предупреждающие знаки</w:t>
      </w:r>
      <w:r/>
    </w:p>
    <w:p>
      <w:pPr>
        <w:ind w:left="540"/>
        <w:jc w:val="both"/>
      </w:pPr>
      <w:r/>
      <w:r/>
    </w:p>
    <w:p>
      <w:pPr>
        <w:jc w:val="both"/>
      </w:pPr>
      <w:r>
        <w:t xml:space="preserve">1.10.6.3. </w:t>
      </w:r>
      <w:bookmarkStart w:id="0" w:name="undefined"/>
      <w:r>
        <w:t xml:space="preserve">Требования к условиям эксплуатации, материалам и конструкции информационных и предупреждающих знаков</w:t>
      </w:r>
      <w:bookmarkEnd w:id="0"/>
      <w:r/>
      <w:r/>
    </w:p>
    <w:p>
      <w:pPr>
        <w:jc w:val="both"/>
        <w:widowControl w:val="off"/>
      </w:pPr>
      <w:r>
        <w:t xml:space="preserve">Требования к изготовлению информационных и предупреждающих знаков, предназначенных для </w:t>
      </w:r>
      <w:r>
        <w:rPr>
          <w:u w:val="single"/>
        </w:rPr>
        <w:t xml:space="preserve">наружного размещения</w:t>
      </w:r>
      <w:r>
        <w:t xml:space="preserve">:</w:t>
      </w:r>
      <w:r/>
    </w:p>
    <w:p>
      <w:pPr>
        <w:jc w:val="both"/>
      </w:pPr>
      <w:r>
        <w:t xml:space="preserve">1.10.6.3.1. </w:t>
      </w:r>
      <w:r>
        <w:t xml:space="preserve">Изготавливаются из металла толщиной не менее 0,5 мм со стеклокерамическим, эмалированным покрытием в соответствии с требованиями ГОСТ 24405-80 со сроком эксплуатации не менее 20 лет. </w:t>
      </w:r>
      <w:r/>
    </w:p>
    <w:p>
      <w:pPr>
        <w:pStyle w:val="1080"/>
        <w:numPr>
          <w:ilvl w:val="0"/>
          <w:numId w:val="60"/>
        </w:numPr>
        <w:jc w:val="both"/>
      </w:pPr>
      <w:r>
        <w:t xml:space="preserve">Должны изготавливаться методом штамповки с </w:t>
      </w:r>
      <w:r>
        <w:t xml:space="preserve">отбортовкой</w:t>
      </w:r>
      <w:r>
        <w:t xml:space="preserve"> по всему периметру знака. Не допускается наличие отверстий на лицевой поверхности знаков. Примеры информационных знаков представлены на рисунках 2-6.</w:t>
      </w:r>
      <w:r/>
    </w:p>
    <w:p>
      <w:pPr>
        <w:pStyle w:val="1080"/>
        <w:numPr>
          <w:ilvl w:val="0"/>
          <w:numId w:val="60"/>
        </w:numPr>
        <w:ind w:right="0"/>
        <w:jc w:val="both"/>
      </w:pPr>
      <w:r>
        <w:t xml:space="preserve">Конструкция информационных и предупреждающих знаков должна предусматривать наличие универсальных (для всех видов креплений) отверстий на бортах знаков, в том числе кронштейнами, бандажной металлической лентой, метизами и др. (рисунки 7, 8).</w:t>
      </w:r>
      <w:r/>
    </w:p>
    <w:p>
      <w:pPr>
        <w:pStyle w:val="1080"/>
        <w:numPr>
          <w:ilvl w:val="0"/>
          <w:numId w:val="60"/>
        </w:numPr>
        <w:ind w:right="0"/>
        <w:jc w:val="both"/>
      </w:pPr>
      <w:r>
        <w:t xml:space="preserve">Нанесение текста и изображений на знак выполняется методом </w:t>
      </w:r>
      <w:r>
        <w:t xml:space="preserve">деколирования</w:t>
      </w:r>
      <w:r>
        <w:t xml:space="preserve"> на эмалированную поверхность – нанесение изображения при помощи </w:t>
      </w:r>
      <w:r>
        <w:t xml:space="preserve">шелкографической</w:t>
      </w:r>
      <w:r>
        <w:t xml:space="preserve"> печати с последующим высокотемпературным обжигом. Борта знаков должны покрываться силикатной эмалью и закрываться </w:t>
      </w:r>
      <w:r>
        <w:t xml:space="preserve">деколью</w:t>
      </w:r>
      <w:r>
        <w:t xml:space="preserve"> в продолжении основного изображения лицевой поверхности.</w:t>
      </w:r>
      <w:r/>
    </w:p>
    <w:p>
      <w:pPr>
        <w:ind w:left="0" w:firstLine="0"/>
        <w:jc w:val="both"/>
      </w:pPr>
      <w:r>
        <w:t xml:space="preserve">1.10.6.3.2. Изготавливаются из негорючего пластика (в том числе вспененный пластик ПВХ) толщиной не менее 4 мм сроком службы не менее 5 лет.</w:t>
      </w:r>
      <w:r/>
    </w:p>
    <w:p>
      <w:pPr>
        <w:pStyle w:val="1080"/>
        <w:numPr>
          <w:ilvl w:val="0"/>
          <w:numId w:val="61"/>
        </w:numPr>
        <w:ind w:right="0"/>
        <w:jc w:val="both"/>
      </w:pPr>
      <w:r>
        <w:t xml:space="preserve">Нанесение текста и изображений на знак выполняется методом прямой полноцветной УФ-печати разрешением не менее 1440 </w:t>
      </w:r>
      <w:r>
        <w:t xml:space="preserve">dpi</w:t>
      </w:r>
      <w:r>
        <w:t xml:space="preserve"> или </w:t>
      </w:r>
      <w:r>
        <w:t xml:space="preserve">шелкографической</w:t>
      </w:r>
      <w:r>
        <w:t xml:space="preserve"> печати.</w:t>
      </w:r>
      <w:r/>
    </w:p>
    <w:p>
      <w:pPr>
        <w:pStyle w:val="1080"/>
        <w:numPr>
          <w:ilvl w:val="0"/>
          <w:numId w:val="61"/>
        </w:numPr>
        <w:ind w:right="0"/>
        <w:jc w:val="both"/>
      </w:pPr>
      <w:r>
        <w:t xml:space="preserve">Краски (материалы) для нанесения текста и изображения должны быть стойки к солнечному излучению, перепадам температур.</w:t>
      </w:r>
      <w:r/>
    </w:p>
    <w:p>
      <w:pPr>
        <w:pStyle w:val="1080"/>
        <w:numPr>
          <w:ilvl w:val="0"/>
          <w:numId w:val="61"/>
        </w:numPr>
        <w:ind w:right="0"/>
        <w:jc w:val="both"/>
      </w:pPr>
      <w:r>
        <w:t xml:space="preserve">Нанесенный текст и изображения должны сохраняться на информационном знаке без потери своих свойств в течение всего заявленного срока службы.</w:t>
      </w:r>
      <w:r/>
    </w:p>
    <w:p>
      <w:pPr>
        <w:pStyle w:val="1080"/>
        <w:numPr>
          <w:ilvl w:val="0"/>
          <w:numId w:val="61"/>
        </w:numPr>
        <w:ind w:right="0"/>
        <w:jc w:val="both"/>
      </w:pPr>
      <w:r>
        <w:t xml:space="preserve">К</w:t>
      </w:r>
      <w:r>
        <w:t xml:space="preserve">онструкция информационных и предупреждающих знаков должна предусматривать наличие отверстий по периметру знаков для выполнения их монтажа на поверхности и конструкциях при помощи метизов или бандажной ленты с применением типовых узлов крепления (рис. 9-18)</w:t>
      </w:r>
      <w:r/>
    </w:p>
    <w:p>
      <w:pPr>
        <w:ind w:left="0" w:firstLine="0"/>
        <w:jc w:val="both"/>
      </w:pPr>
      <w:r>
        <w:t xml:space="preserve">1.10.6.3.3. Фоновые изображения информационных и предупреждающих знаков должны быть матовые (антибликовые).</w:t>
      </w:r>
      <w:r/>
    </w:p>
    <w:p>
      <w:pPr>
        <w:ind w:left="0" w:firstLine="0"/>
        <w:jc w:val="both"/>
      </w:pPr>
      <w:r>
        <w:t xml:space="preserve">1.10.6.3.4. Информационные и предупреждающие знаки должны иметь антивандальное исполнение.</w:t>
      </w:r>
      <w:r/>
    </w:p>
    <w:p>
      <w:pPr>
        <w:ind w:left="0" w:firstLine="0"/>
        <w:jc w:val="both"/>
      </w:pPr>
      <w:r>
        <w:t xml:space="preserve">1.10.</w:t>
      </w:r>
      <w:r>
        <w:t xml:space="preserve">6.3.5. Информационные и предупреждающие знаки должны иметь гладкую, однородную поверхность покрытия, не содержащую посторонние включения и загрязнения. Не допускается наличие пузырей, потеков, вспучивания, трещин, кратеров, разрывов и отслаиваний покрытия.</w:t>
      </w:r>
      <w:r/>
    </w:p>
    <w:p>
      <w:pPr>
        <w:ind w:left="0" w:right="0" w:firstLine="0"/>
        <w:jc w:val="both"/>
      </w:pPr>
      <w:r>
        <w:t xml:space="preserve">1.10.6.3.6. Материалы и тип исполнения информационных и предупреждающих знаков должны учитывать климатические, социально-экономические, а также и иные специфические условия размещения.</w:t>
      </w:r>
      <w:r/>
    </w:p>
    <w:p>
      <w:pPr>
        <w:ind w:left="0" w:firstLine="0"/>
        <w:jc w:val="both"/>
      </w:pPr>
      <w:r>
        <w:t xml:space="preserve">1.10.6.3.7. Крепления информационных и предупреждающих знаков должны обеспечивать надежность их фиксации с учетом местных условий в течение всего срока службы.</w:t>
      </w:r>
      <w:r/>
    </w:p>
    <w:p>
      <w:pPr>
        <w:ind w:left="0" w:firstLine="0"/>
        <w:jc w:val="both"/>
      </w:pPr>
      <w:r>
        <w:t xml:space="preserve">1.10.6.3.8. Размеры элементов изображений, размещаемых на информационных знаках, необходимо выбирать, исходя из максимальной реализации свободного пространства.</w:t>
      </w:r>
      <w:r/>
    </w:p>
    <w:p>
      <w:pPr>
        <w:ind w:left="0" w:firstLine="0"/>
        <w:jc w:val="both"/>
      </w:pPr>
      <w:r>
        <w:t xml:space="preserve">1.10.6.3.9. Текст и изображения на информационном знаке необходимо располагать пропорционально.</w:t>
      </w:r>
      <w:r/>
    </w:p>
    <w:p>
      <w:pPr>
        <w:ind w:left="0" w:firstLine="0"/>
        <w:jc w:val="both"/>
      </w:pPr>
      <w:r>
        <w:t xml:space="preserve">1.10.6.3.10. Размер шрифта диспетчерского наименования оборудования, ВЛ, номера опоры должны быть соразмерными, без явного преобладания одного над другим.</w:t>
      </w:r>
      <w:r/>
    </w:p>
    <w:p>
      <w:pPr>
        <w:ind w:left="0" w:firstLine="0"/>
        <w:jc w:val="both"/>
      </w:pPr>
      <w:r>
        <w:t xml:space="preserve">1.10.6.3.11. Текст и графические элементы должны быть черного цвета.</w:t>
      </w:r>
      <w:r/>
    </w:p>
    <w:p>
      <w:pPr>
        <w:ind w:left="0" w:firstLine="0"/>
        <w:jc w:val="both"/>
        <w:rPr>
          <w:lang w:val="en-US"/>
        </w:rPr>
      </w:pPr>
      <w:r>
        <w:t xml:space="preserve">1.10.6.3.12. Используемые</w:t>
      </w:r>
      <w:r>
        <w:rPr>
          <w:lang w:val="en-US"/>
        </w:rPr>
        <w:t xml:space="preserve"> </w:t>
      </w:r>
      <w:r>
        <w:t xml:space="preserve">шрифты</w:t>
      </w:r>
      <w:r>
        <w:rPr>
          <w:lang w:val="en-US"/>
        </w:rPr>
        <w:t xml:space="preserve"> PF Din Text Cond, PF Din Text Cond Pro Light.</w:t>
      </w:r>
      <w:r>
        <w:rPr>
          <w:lang w:val="en-US"/>
        </w:rPr>
      </w:r>
      <w:r>
        <w:rPr>
          <w:lang w:val="en-US"/>
        </w:rPr>
      </w:r>
    </w:p>
    <w:p>
      <w:pPr>
        <w:ind w:left="0" w:firstLine="0"/>
        <w:jc w:val="both"/>
      </w:pPr>
      <w:r>
        <w:rPr>
          <w:lang w:val="en-US"/>
        </w:rPr>
        <w:t xml:space="preserve">1</w:t>
      </w:r>
      <w:r>
        <w:rPr>
          <w:lang w:val="en-US"/>
        </w:rPr>
        <w:t xml:space="preserve">.</w:t>
      </w:r>
      <w:r>
        <w:rPr>
          <w:lang w:val="en-US"/>
        </w:rPr>
        <w:t xml:space="preserve">1</w:t>
      </w:r>
      <w:r>
        <w:rPr>
          <w:lang w:val="en-US"/>
        </w:rPr>
        <w:t xml:space="preserve">0</w:t>
      </w:r>
      <w:r>
        <w:rPr>
          <w:lang w:val="en-US"/>
        </w:rPr>
        <w:t xml:space="preserve">.</w:t>
      </w:r>
      <w:r>
        <w:rPr>
          <w:lang w:val="en-US"/>
        </w:rPr>
        <w:t xml:space="preserve">6</w:t>
      </w:r>
      <w:r>
        <w:rPr>
          <w:lang w:val="en-US"/>
        </w:rPr>
        <w:t xml:space="preserve">.</w:t>
      </w:r>
      <w:r>
        <w:rPr>
          <w:lang w:val="en-US"/>
        </w:rPr>
        <w:t xml:space="preserve">3</w:t>
      </w:r>
      <w:r>
        <w:rPr>
          <w:lang w:val="en-US"/>
        </w:rPr>
        <w:t xml:space="preserve">.</w:t>
      </w:r>
      <w:r>
        <w:rPr>
          <w:lang w:val="en-US"/>
        </w:rPr>
        <w:t xml:space="preserve">1</w:t>
      </w:r>
      <w:r>
        <w:rPr>
          <w:lang w:val="en-US"/>
        </w:rPr>
        <w:t xml:space="preserve">3</w:t>
      </w:r>
      <w:r>
        <w:rPr>
          <w:lang w:val="en-US"/>
        </w:rPr>
        <w:t xml:space="preserve">.</w:t>
      </w:r>
      <w:r>
        <w:rPr>
          <w:lang w:val="en-US"/>
        </w:rPr>
        <w:t xml:space="preserve"> </w:t>
      </w:r>
      <w:r>
        <w:rPr>
          <w:lang w:val="en-US"/>
        </w:rPr>
        <w:t xml:space="preserve">QR</w:t>
      </w:r>
      <w:r>
        <w:t xml:space="preserve">-код должен располагаться в левом нижнем углу информационного знака.</w:t>
      </w:r>
      <w:r/>
    </w:p>
    <w:p>
      <w:pPr>
        <w:ind w:left="0" w:firstLine="0"/>
        <w:jc w:val="both"/>
      </w:pPr>
      <w:r>
        <w:t xml:space="preserve">1.10.6.3.14. Отступ от края до текста или графических изображений, рамок – не менее 5 мм.</w:t>
      </w:r>
      <w:r/>
    </w:p>
    <w:p>
      <w:pPr>
        <w:ind w:left="0" w:firstLine="0"/>
        <w:jc w:val="both"/>
      </w:pPr>
      <w:r>
        <w:t xml:space="preserve">1.10.6.3.15. Требования к условиям эксплуатации</w:t>
      </w:r>
      <w:r>
        <w:t xml:space="preserve"> </w:t>
      </w:r>
      <w:r>
        <w:t xml:space="preserve">информационных и предупреждающих знаков, предназначенных для наружного размещения:</w:t>
      </w:r>
      <w:r/>
    </w:p>
    <w:p>
      <w:pPr>
        <w:numPr>
          <w:ilvl w:val="0"/>
          <w:numId w:val="42"/>
        </w:numPr>
        <w:ind w:left="0" w:firstLine="0"/>
        <w:jc w:val="both"/>
      </w:pPr>
      <w:r>
        <w:t xml:space="preserve">Возможность эксплуатации при относительной влажности воздуха от 0 до 100% на протяжении всего срока службы.</w:t>
      </w:r>
      <w:r/>
    </w:p>
    <w:p>
      <w:pPr>
        <w:numPr>
          <w:ilvl w:val="0"/>
          <w:numId w:val="42"/>
        </w:numPr>
        <w:ind w:left="0" w:firstLine="0"/>
        <w:jc w:val="both"/>
      </w:pPr>
      <w:r>
        <w:t xml:space="preserve">Стойкость текста и изображения к воздействию растворителей и слабых растворов кислот, а также к выцветанию на протяжении всего срока службы.</w:t>
      </w:r>
      <w:r/>
    </w:p>
    <w:p>
      <w:pPr>
        <w:numPr>
          <w:ilvl w:val="0"/>
          <w:numId w:val="42"/>
        </w:numPr>
        <w:ind w:left="0" w:firstLine="0"/>
        <w:jc w:val="both"/>
      </w:pPr>
      <w:r>
        <w:t xml:space="preserve">Стойкость к негативному влиянию коррозионных агентов атмосферы воздуха, соответствующих группе II (промышленная) в соответствии с ГОСТ 15150 на протяжении всего срока службы.</w:t>
      </w:r>
      <w:r/>
    </w:p>
    <w:p>
      <w:pPr>
        <w:numPr>
          <w:ilvl w:val="0"/>
          <w:numId w:val="42"/>
        </w:numPr>
        <w:ind w:left="0" w:firstLine="0"/>
        <w:jc w:val="both"/>
      </w:pPr>
      <w:r>
        <w:t xml:space="preserve">Стойкость к воздействию атмосферных осадков (снега, инея, дождя), солнечного излучения, соляного тумана, пыли на протяжении всего срока службы.</w:t>
      </w:r>
      <w:r/>
    </w:p>
    <w:p>
      <w:pPr>
        <w:ind w:left="0" w:firstLine="0"/>
        <w:jc w:val="both"/>
      </w:pPr>
      <w:r>
        <w:t xml:space="preserve">1.10.6.3.16. При изготовлении информационных и предупреждающих знаков не допускается:</w:t>
      </w:r>
      <w:r/>
    </w:p>
    <w:p>
      <w:pPr>
        <w:numPr>
          <w:ilvl w:val="0"/>
          <w:numId w:val="36"/>
        </w:numPr>
        <w:ind w:left="0" w:firstLine="0"/>
        <w:jc w:val="both"/>
      </w:pPr>
      <w:r>
        <w:t xml:space="preserve">изготовление </w:t>
      </w:r>
      <w:r>
        <w:t xml:space="preserve">деколей</w:t>
      </w:r>
      <w:r>
        <w:t xml:space="preserve"> на струйных, цифровых и офсетных принтерах;</w:t>
      </w:r>
      <w:r/>
    </w:p>
    <w:p>
      <w:pPr>
        <w:numPr>
          <w:ilvl w:val="0"/>
          <w:numId w:val="36"/>
        </w:numPr>
        <w:ind w:left="0" w:firstLine="0"/>
        <w:jc w:val="both"/>
      </w:pPr>
      <w:r>
        <w:t xml:space="preserve">разнотон</w:t>
      </w:r>
      <w:r>
        <w:t xml:space="preserve"> цветов изображений в пределах партии;</w:t>
      </w:r>
      <w:r/>
    </w:p>
    <w:p>
      <w:pPr>
        <w:numPr>
          <w:ilvl w:val="0"/>
          <w:numId w:val="36"/>
        </w:numPr>
        <w:ind w:left="0" w:firstLine="0"/>
        <w:jc w:val="both"/>
      </w:pPr>
      <w:r>
        <w:t xml:space="preserve">использование </w:t>
      </w:r>
      <w:r>
        <w:t xml:space="preserve">цветографических</w:t>
      </w:r>
      <w:r>
        <w:t xml:space="preserve"> изображений, несоответствующих стандартной шкале </w:t>
      </w:r>
      <w:r>
        <w:t xml:space="preserve">Pantone</w:t>
      </w:r>
      <w:r>
        <w:t xml:space="preserve">/</w:t>
      </w:r>
      <w:r>
        <w:t xml:space="preserve">Ral</w:t>
      </w:r>
      <w:r>
        <w:t xml:space="preserve">.</w:t>
      </w:r>
      <w:r/>
    </w:p>
    <w:p>
      <w:pPr>
        <w:jc w:val="both"/>
        <w:widowControl w:val="off"/>
      </w:pPr>
      <w:r/>
      <w:r/>
    </w:p>
    <w:p>
      <w:pPr>
        <w:jc w:val="both"/>
        <w:widowControl w:val="off"/>
      </w:pPr>
      <w:r>
        <w:t xml:space="preserve">1.10.6.3.17. Требования к изготовлению информационных и предупреждающих знаков, предназначенных для размещения внутри помещений:</w:t>
      </w:r>
      <w:r/>
    </w:p>
    <w:p>
      <w:pPr>
        <w:pStyle w:val="1080"/>
        <w:numPr>
          <w:ilvl w:val="0"/>
          <w:numId w:val="62"/>
        </w:numPr>
        <w:jc w:val="both"/>
      </w:pPr>
      <w:r>
        <w:t xml:space="preserve">Изготавливаются из негорючего пластика (в том числе вспененный пластик ПВХ) толщиной не менее 4 мм либо из алюминия толщиной не менее 0,5 мм.</w:t>
      </w:r>
      <w:r/>
    </w:p>
    <w:p>
      <w:pPr>
        <w:pStyle w:val="1080"/>
        <w:numPr>
          <w:ilvl w:val="0"/>
          <w:numId w:val="62"/>
        </w:numPr>
        <w:jc w:val="both"/>
      </w:pPr>
      <w:r>
        <w:t xml:space="preserve">Нанесение текста и изображений выполняется методом прямой полноцветной УФ печати, разрешением не менее 1440 </w:t>
      </w:r>
      <w:r>
        <w:t xml:space="preserve">dpi</w:t>
      </w:r>
      <w:r>
        <w:t xml:space="preserve"> или </w:t>
      </w:r>
      <w:r>
        <w:t xml:space="preserve">термотрансферного</w:t>
      </w:r>
      <w:r>
        <w:t xml:space="preserve"> переноса.</w:t>
      </w:r>
      <w:r/>
    </w:p>
    <w:p>
      <w:pPr>
        <w:pStyle w:val="1080"/>
        <w:numPr>
          <w:ilvl w:val="0"/>
          <w:numId w:val="62"/>
        </w:numPr>
        <w:jc w:val="both"/>
      </w:pPr>
      <w:r>
        <w:t xml:space="preserve">При изготовлении необходимо предусмотреть наличие не менее двух отверстий для крепления знаков с использованием метизов, либо прорезей для крепления с использованием бандажной ленты. Возможно использование для крепления знаков двухстороннего скотча.</w:t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1513840</wp:posOffset>
                </wp:positionH>
                <wp:positionV relativeFrom="paragraph">
                  <wp:posOffset>3211215</wp:posOffset>
                </wp:positionV>
                <wp:extent cx="2617936" cy="2285905"/>
                <wp:effectExtent l="6350" t="6350" r="6350" b="6350"/>
                <wp:wrapTopAndBottom/>
                <wp:docPr id="16" name="Рисунок 10" descr="Знак 300х400 Г (высечка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20467314" name="Picture 3" descr="Знак 300х400 Г (высечка)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4"/>
                        <a:stretch/>
                      </pic:blipFill>
                      <pic:spPr bwMode="auto">
                        <a:xfrm flipH="0" flipV="0">
                          <a:off x="0" y="0"/>
                          <a:ext cx="2617935" cy="22859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0" o:spid="_x0000_s30" type="#_x0000_t75" style="position:absolute;z-index:251663360;o:allowoverlap:true;o:allowincell:true;mso-position-horizontal-relative:margin;margin-left:119.20pt;mso-position-horizontal:absolute;mso-position-vertical-relative:text;margin-top:252.85pt;mso-position-vertical:absolute;width:206.14pt;height:179.99pt;mso-wrap-distance-left:9.00pt;mso-wrap-distance-top:0.00pt;mso-wrap-distance-right:9.00pt;mso-wrap-distance-bottom:0.00pt;" stroked="f">
                <v:path textboxrect="0,0,0,0"/>
                <w10:wrap type="topAndBottom"/>
                <v:imagedata r:id="rId24" o:title=""/>
              </v:shape>
            </w:pict>
          </mc:Fallback>
        </mc:AlternateContent>
      </w: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2336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300458</wp:posOffset>
                </wp:positionV>
                <wp:extent cx="5197475" cy="3380458"/>
                <wp:effectExtent l="6350" t="6350" r="6350" b="6350"/>
                <wp:wrapTopAndBottom/>
                <wp:docPr id="17" name="Рисунок 9" descr="Знак 300х400 Г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57944168" name="Picture 1" descr="Знак 300х400 Г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5"/>
                        <a:stretch/>
                      </pic:blipFill>
                      <pic:spPr bwMode="auto">
                        <a:xfrm flipH="0" flipV="0">
                          <a:off x="0" y="0"/>
                          <a:ext cx="5197474" cy="33804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1" o:spid="_x0000_s31" type="#_x0000_t75" style="position:absolute;z-index:251662336;o:allowoverlap:true;o:allowincell:true;mso-position-horizontal-relative:margin;mso-position-horizontal:left;mso-position-vertical-relative:text;margin-top:23.66pt;mso-position-vertical:absolute;width:409.25pt;height:266.18pt;mso-wrap-distance-left:9.00pt;mso-wrap-distance-top:0.00pt;mso-wrap-distance-right:9.00pt;mso-wrap-distance-bottom:0.00pt;" stroked="f">
                <v:path textboxrect="0,0,0,0"/>
                <w10:wrap type="topAndBottom"/>
                <v:imagedata r:id="rId25" o:title=""/>
              </v:shape>
            </w:pict>
          </mc:Fallback>
        </mc:AlternateContent>
      </w:r>
      <w:r/>
    </w:p>
    <w:p>
      <w:pPr>
        <w:ind w:left="540"/>
        <w:jc w:val="center"/>
        <w:widowControl w:val="off"/>
      </w:pPr>
      <w:r>
        <w:t xml:space="preserve">Рисунок 7 Пример конструкции прямоугольного информационного знака с универсальными отверстиями для крепления</w:t>
      </w:r>
      <w:r/>
    </w:p>
    <w:p>
      <w:pPr>
        <w:ind w:left="540"/>
        <w:jc w:val="both"/>
        <w:widowControl w:val="off"/>
      </w:pPr>
      <w:r/>
      <w:r/>
    </w:p>
    <w:p>
      <w:pPr>
        <w:ind w:left="540"/>
        <w:jc w:val="both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438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253723</wp:posOffset>
                </wp:positionV>
                <wp:extent cx="6026785" cy="5255895"/>
                <wp:effectExtent l="0" t="0" r="0" b="1905"/>
                <wp:wrapTopAndBottom/>
                <wp:docPr id="18" name="Рисунок 13" descr="\\proj\common\Дизайн\_ВизТех\ПРЕЗЕНТАЦИИ ВТ\Презентация креплений на уголок\Чертежи\Треугольник 300х300-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37132430" name="Picture 4" descr="\\proj\common\Дизайн\_ВизТех\ПРЕЗЕНТАЦИИ ВТ\Презентация креплений на уголок\Чертежи\Треугольник 300х300-1.png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6026783" cy="525589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2" o:spid="_x0000_s32" type="#_x0000_t75" style="position:absolute;z-index:251664384;o:allowoverlap:true;o:allowincell:true;mso-position-horizontal-relative:margin;mso-position-horizontal:right;mso-position-vertical-relative:text;margin-top:19.98pt;mso-position-vertical:absolute;width:474.55pt;height:413.85pt;mso-wrap-distance-left:9.00pt;mso-wrap-distance-top:0.00pt;mso-wrap-distance-right:9.00pt;mso-wrap-distance-bottom:0.00pt;" stroked="f">
                <v:path textboxrect="0,0,0,0"/>
                <w10:wrap type="topAndBottom"/>
                <v:imagedata r:id="rId26" o:title=""/>
              </v:shape>
            </w:pict>
          </mc:Fallback>
        </mc:AlternateContent>
      </w:r>
      <w:r/>
    </w:p>
    <w:p>
      <w:pPr>
        <w:ind w:left="540"/>
        <w:jc w:val="center"/>
        <w:widowControl w:val="off"/>
      </w:pPr>
      <w:r>
        <w:t xml:space="preserve">Рисунок 8 Пример конструкции треугольного информационного знака с универсальными отверстиями для крепления</w:t>
      </w:r>
      <w:r/>
    </w:p>
    <w:p>
      <w:pPr>
        <w:ind w:left="540"/>
        <w:jc w:val="both"/>
        <w:widowControl w:val="off"/>
      </w:pPr>
      <w:r/>
      <w:r/>
    </w:p>
    <w:p>
      <w:pPr>
        <w:ind w:left="0" w:firstLine="0"/>
        <w:jc w:val="both"/>
      </w:pPr>
      <w:r>
        <w:t xml:space="preserve">1.10.6.3.18. </w:t>
      </w:r>
      <w:bookmarkStart w:id="0" w:name="undefined"/>
      <w:r>
        <w:t xml:space="preserve">Типовые узлы крепления информационных и предупреждающих знаков</w:t>
      </w:r>
      <w:bookmarkEnd w:id="0"/>
      <w:r/>
      <w:r/>
    </w:p>
    <w:p>
      <w:pPr>
        <w:jc w:val="both"/>
        <w:widowControl w:val="off"/>
      </w:pPr>
      <w:r/>
      <w:r/>
    </w:p>
    <w:p>
      <w:pPr>
        <w:pStyle w:val="1080"/>
        <w:numPr>
          <w:ilvl w:val="0"/>
          <w:numId w:val="63"/>
        </w:numPr>
        <w:jc w:val="both"/>
      </w:pPr>
      <w:r>
        <w:t xml:space="preserve">Эскизы типовых узлов крепления информационных знаков на элементы решетчатых опор ВЛ, порталов РУ, опорных стоек и рам оборудования ПС представлены на рисунках 9-18.</w:t>
      </w:r>
      <w:r/>
    </w:p>
    <w:p>
      <w:pPr>
        <w:ind w:left="540"/>
        <w:jc w:val="both"/>
        <w:widowControl w:val="off"/>
      </w:pPr>
      <w:r>
        <w:br w:type="page" w:clear="all"/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540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220124</wp:posOffset>
                </wp:positionV>
                <wp:extent cx="2194560" cy="2361565"/>
                <wp:effectExtent l="0" t="0" r="0" b="635"/>
                <wp:wrapTopAndBottom/>
                <wp:docPr id="19" name="Рисунок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13746603" name="Рисунок 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7"/>
                        <a:stretch/>
                      </pic:blipFill>
                      <pic:spPr bwMode="auto">
                        <a:xfrm>
                          <a:off x="0" y="0"/>
                          <a:ext cx="2194560" cy="2361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3" o:spid="_x0000_s33" type="#_x0000_t75" style="position:absolute;z-index:251665408;o:allowoverlap:true;o:allowincell:true;mso-position-horizontal-relative:margin;mso-position-horizontal:center;mso-position-vertical-relative:text;margin-top:17.33pt;mso-position-vertical:absolute;width:172.80pt;height:185.95pt;mso-wrap-distance-left:9.00pt;mso-wrap-distance-top:0.00pt;mso-wrap-distance-right:9.00pt;mso-wrap-distance-bottom:0.00pt;" stroked="f">
                <v:path textboxrect="0,0,0,0"/>
                <w10:wrap type="topAndBottom"/>
                <v:imagedata r:id="rId27" o:title=""/>
              </v:shape>
            </w:pict>
          </mc:Fallback>
        </mc:AlternateContent>
      </w:r>
      <w:r/>
    </w:p>
    <w:p>
      <w:pPr>
        <w:ind w:left="540"/>
        <w:jc w:val="center"/>
        <w:widowControl w:val="off"/>
      </w:pPr>
      <w:r>
        <w:t xml:space="preserve">Рисунок 9 Крепление знака бандажной лентой на горизонтальный уголок. Адаптер на одну ленту</w:t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643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326970</wp:posOffset>
                </wp:positionV>
                <wp:extent cx="2703195" cy="1630045"/>
                <wp:effectExtent l="0" t="0" r="1905" b="8255"/>
                <wp:wrapTopAndBottom/>
                <wp:docPr id="20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6620815" name="Рисунок 3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8"/>
                        <a:stretch/>
                      </pic:blipFill>
                      <pic:spPr bwMode="auto">
                        <a:xfrm>
                          <a:off x="0" y="0"/>
                          <a:ext cx="2703195" cy="16300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4" o:spid="_x0000_s34" type="#_x0000_t75" style="position:absolute;z-index:251666432;o:allowoverlap:true;o:allowincell:true;mso-position-horizontal-relative:margin;mso-position-horizontal:center;mso-position-vertical-relative:text;margin-top:25.75pt;mso-position-vertical:absolute;width:212.85pt;height:128.35pt;mso-wrap-distance-left:9.00pt;mso-wrap-distance-top:0.00pt;mso-wrap-distance-right:9.00pt;mso-wrap-distance-bottom:0.00pt;" stroked="f">
                <v:path textboxrect="0,0,0,0"/>
                <w10:wrap type="topAndBottom"/>
                <v:imagedata r:id="rId28" o:title=""/>
              </v:shape>
            </w:pict>
          </mc:Fallback>
        </mc:AlternateContent>
      </w:r>
      <w:r/>
    </w:p>
    <w:p>
      <w:pPr>
        <w:ind w:left="540"/>
        <w:jc w:val="center"/>
        <w:widowControl w:val="off"/>
      </w:pPr>
      <w:r>
        <w:t xml:space="preserve">Рисунок 10 Адаптер под бандажную ленту</w:t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745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406731</wp:posOffset>
                </wp:positionV>
                <wp:extent cx="1446530" cy="2369185"/>
                <wp:effectExtent l="0" t="0" r="1270" b="0"/>
                <wp:wrapTopAndBottom/>
                <wp:docPr id="21" name="Рисунок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15531173" name="Рисунок 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9"/>
                        <a:stretch/>
                      </pic:blipFill>
                      <pic:spPr bwMode="auto">
                        <a:xfrm>
                          <a:off x="0" y="0"/>
                          <a:ext cx="1446529" cy="23691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5" o:spid="_x0000_s35" type="#_x0000_t75" style="position:absolute;z-index:251667456;o:allowoverlap:true;o:allowincell:true;mso-position-horizontal-relative:margin;mso-position-horizontal:center;mso-position-vertical-relative:text;margin-top:32.03pt;mso-position-vertical:absolute;width:113.90pt;height:186.55pt;mso-wrap-distance-left:9.00pt;mso-wrap-distance-top:0.00pt;mso-wrap-distance-right:9.00pt;mso-wrap-distance-bottom:0.00pt;" stroked="f">
                <v:path textboxrect="0,0,0,0"/>
                <w10:wrap type="topAndBottom"/>
                <v:imagedata r:id="rId29" o:title=""/>
              </v:shape>
            </w:pict>
          </mc:Fallback>
        </mc:AlternateContent>
      </w:r>
      <w:r/>
    </w:p>
    <w:p>
      <w:pPr>
        <w:ind w:left="540"/>
        <w:jc w:val="center"/>
        <w:widowControl w:val="off"/>
      </w:pPr>
      <w:r>
        <w:t xml:space="preserve">Рисунок 11 Адаптер под усиленное крепление. 2 или 3 бандажных ленты</w:t>
      </w:r>
      <w:r/>
    </w:p>
    <w:p>
      <w:pPr>
        <w:ind w:left="540"/>
        <w:jc w:val="both"/>
        <w:widowControl w:val="off"/>
      </w:pPr>
      <w:r>
        <w:br w:type="page" w:clear="all"/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848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39756</wp:posOffset>
                </wp:positionV>
                <wp:extent cx="2759075" cy="1876425"/>
                <wp:effectExtent l="0" t="0" r="3175" b="9525"/>
                <wp:wrapTopAndBottom/>
                <wp:docPr id="22" name="Рисунок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69297990" name="Рисунок 1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0"/>
                        <a:stretch/>
                      </pic:blipFill>
                      <pic:spPr bwMode="auto">
                        <a:xfrm>
                          <a:off x="0" y="0"/>
                          <a:ext cx="2759074" cy="18764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6" o:spid="_x0000_s36" type="#_x0000_t75" style="position:absolute;z-index:251668480;o:allowoverlap:true;o:allowincell:true;mso-position-horizontal-relative:margin;mso-position-horizontal:center;mso-position-vertical-relative:text;margin-top:3.13pt;mso-position-vertical:absolute;width:217.25pt;height:147.75pt;mso-wrap-distance-left:9.00pt;mso-wrap-distance-top:0.00pt;mso-wrap-distance-right:9.00pt;mso-wrap-distance-bottom:0.00pt;" stroked="f">
                <v:path textboxrect="0,0,0,0"/>
                <w10:wrap type="topAndBottom"/>
                <v:imagedata r:id="rId30" o:title=""/>
              </v:shape>
            </w:pict>
          </mc:Fallback>
        </mc:AlternateContent>
      </w:r>
      <w:r>
        <w:t xml:space="preserve">Рисунок 12. Переходник для крепления знака на вертикальном уголке</w:t>
      </w:r>
      <w:r/>
    </w:p>
    <w:p>
      <w:pPr>
        <w:ind w:left="540"/>
        <w:jc w:val="both"/>
        <w:widowControl w:val="off"/>
        <w:rPr>
          <w:b/>
        </w:rPr>
      </w:pPr>
      <w:r>
        <w:rPr>
          <w:b/>
        </w:rP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6950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215900</wp:posOffset>
                </wp:positionV>
                <wp:extent cx="3418840" cy="1844675"/>
                <wp:effectExtent l="0" t="0" r="0" b="3175"/>
                <wp:wrapTopAndBottom/>
                <wp:docPr id="23" name="Рисунок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80635059" name="Рисунок 15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1"/>
                        <a:stretch/>
                      </pic:blipFill>
                      <pic:spPr bwMode="auto">
                        <a:xfrm>
                          <a:off x="0" y="0"/>
                          <a:ext cx="3418839" cy="18446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7" o:spid="_x0000_s37" type="#_x0000_t75" style="position:absolute;z-index:251669504;o:allowoverlap:true;o:allowincell:true;mso-position-horizontal-relative:margin;mso-position-horizontal:center;mso-position-vertical-relative:text;margin-top:17.00pt;mso-position-vertical:absolute;width:269.20pt;height:145.25pt;mso-wrap-distance-left:9.00pt;mso-wrap-distance-top:0.00pt;mso-wrap-distance-right:9.00pt;mso-wrap-distance-bottom:0.00pt;" stroked="f">
                <v:path textboxrect="0,0,0,0"/>
                <w10:wrap type="topAndBottom"/>
                <v:imagedata r:id="rId31" o:title=""/>
              </v:shape>
            </w:pict>
          </mc:Fallback>
        </mc:AlternateContent>
      </w:r>
      <w:r>
        <w:rPr>
          <w:b/>
        </w:rPr>
      </w:r>
      <w:r>
        <w:rPr>
          <w:b/>
        </w:rPr>
      </w:r>
    </w:p>
    <w:p>
      <w:pPr>
        <w:ind w:left="540"/>
        <w:jc w:val="center"/>
        <w:widowControl w:val="off"/>
      </w:pPr>
      <w:r>
        <w:t xml:space="preserve">Рисунок 13. Вкладыш фиксации адаптера на полке уголка</w:t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052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266231</wp:posOffset>
                </wp:positionV>
                <wp:extent cx="3752850" cy="1415415"/>
                <wp:effectExtent l="0" t="0" r="0" b="0"/>
                <wp:wrapTopAndBottom/>
                <wp:docPr id="24" name="Рисунок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2093265" name="Рисунок 17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2"/>
                        <a:stretch/>
                      </pic:blipFill>
                      <pic:spPr bwMode="auto">
                        <a:xfrm>
                          <a:off x="0" y="0"/>
                          <a:ext cx="3752848" cy="14154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8" o:spid="_x0000_s38" type="#_x0000_t75" style="position:absolute;z-index:251670528;o:allowoverlap:true;o:allowincell:true;mso-position-horizontal-relative:margin;mso-position-horizontal:center;mso-position-vertical-relative:text;margin-top:20.96pt;mso-position-vertical:absolute;width:295.50pt;height:111.45pt;mso-wrap-distance-left:9.00pt;mso-wrap-distance-top:0.00pt;mso-wrap-distance-right:9.00pt;mso-wrap-distance-bottom:0.00pt;" stroked="f">
                <v:path textboxrect="0,0,0,0"/>
                <w10:wrap type="topAndBottom"/>
                <v:imagedata r:id="rId32" o:title=""/>
              </v:shape>
            </w:pict>
          </mc:Fallback>
        </mc:AlternateContent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1552" behindDoc="0" locked="0" layoutInCell="1" allowOverlap="1">
                <wp:simplePos x="0" y="0"/>
                <wp:positionH relativeFrom="margin">
                  <wp:posOffset>1213153</wp:posOffset>
                </wp:positionH>
                <wp:positionV relativeFrom="paragraph">
                  <wp:posOffset>2015711</wp:posOffset>
                </wp:positionV>
                <wp:extent cx="3896360" cy="2027555"/>
                <wp:effectExtent l="0" t="0" r="8890" b="0"/>
                <wp:wrapTopAndBottom/>
                <wp:docPr id="25" name="Рисунок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7272127" name="Рисунок 18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3"/>
                        <a:stretch/>
                      </pic:blipFill>
                      <pic:spPr bwMode="auto">
                        <a:xfrm>
                          <a:off x="0" y="0"/>
                          <a:ext cx="3896359" cy="20275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9" o:spid="_x0000_s39" type="#_x0000_t75" style="position:absolute;z-index:251671552;o:allowoverlap:true;o:allowincell:true;mso-position-horizontal-relative:margin;margin-left:95.52pt;mso-position-horizontal:absolute;mso-position-vertical-relative:text;margin-top:158.72pt;mso-position-vertical:absolute;width:306.80pt;height:159.65pt;mso-wrap-distance-left:9.00pt;mso-wrap-distance-top:0.00pt;mso-wrap-distance-right:9.00pt;mso-wrap-distance-bottom:0.00pt;" stroked="f">
                <v:path textboxrect="0,0,0,0"/>
                <w10:wrap type="topAndBottom"/>
                <v:imagedata r:id="rId33" o:title=""/>
              </v:shape>
            </w:pict>
          </mc:Fallback>
        </mc:AlternateContent>
      </w:r>
      <w:r>
        <w:t xml:space="preserve">Рисунок 14. Переходник под знаки больших размеров</w:t>
      </w:r>
      <w:r/>
    </w:p>
    <w:p>
      <w:pPr>
        <w:ind w:left="540"/>
        <w:jc w:val="center"/>
        <w:widowControl w:val="off"/>
      </w:pPr>
      <w:r/>
      <w:r/>
    </w:p>
    <w:p>
      <w:pPr>
        <w:ind w:left="540"/>
        <w:jc w:val="center"/>
        <w:widowControl w:val="off"/>
      </w:pPr>
      <w:r>
        <w:t xml:space="preserve">Рисунок 15. Простой хомут фиксированной ширины</w:t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257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7952</wp:posOffset>
                </wp:positionV>
                <wp:extent cx="2560320" cy="3068955"/>
                <wp:effectExtent l="0" t="0" r="0" b="0"/>
                <wp:wrapTopAndBottom/>
                <wp:docPr id="26" name="Рисунок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51343639" name="Рисунок 19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4"/>
                        <a:stretch/>
                      </pic:blipFill>
                      <pic:spPr bwMode="auto">
                        <a:xfrm>
                          <a:off x="0" y="0"/>
                          <a:ext cx="2560320" cy="3068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0" o:spid="_x0000_s40" type="#_x0000_t75" style="position:absolute;z-index:251672576;o:allowoverlap:true;o:allowincell:true;mso-position-horizontal-relative:margin;mso-position-horizontal:center;mso-position-vertical-relative:text;margin-top:0.63pt;mso-position-vertical:absolute;width:201.60pt;height:241.65pt;mso-wrap-distance-left:9.00pt;mso-wrap-distance-top:0.00pt;mso-wrap-distance-right:9.00pt;mso-wrap-distance-bottom:0.00pt;" stroked="f">
                <v:path textboxrect="0,0,0,0"/>
                <w10:wrap type="topAndBottom"/>
                <v:imagedata r:id="rId34" o:title=""/>
              </v:shape>
            </w:pict>
          </mc:Fallback>
        </mc:AlternateContent>
      </w:r>
      <w:r>
        <w:t xml:space="preserve">Рисунок 16. Регулируемый хомут</w:t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360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409630</wp:posOffset>
                </wp:positionV>
                <wp:extent cx="3363595" cy="2075180"/>
                <wp:effectExtent l="0" t="0" r="8255" b="1270"/>
                <wp:wrapTopAndBottom/>
                <wp:docPr id="27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28360249" name="Рисунок 20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5"/>
                        <a:stretch/>
                      </pic:blipFill>
                      <pic:spPr bwMode="auto">
                        <a:xfrm>
                          <a:off x="0" y="0"/>
                          <a:ext cx="3363594" cy="20751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1" o:spid="_x0000_s41" type="#_x0000_t75" style="position:absolute;z-index:251673600;o:allowoverlap:true;o:allowincell:true;mso-position-horizontal-relative:margin;mso-position-horizontal:center;mso-position-vertical-relative:text;margin-top:32.25pt;mso-position-vertical:absolute;width:264.85pt;height:163.40pt;mso-wrap-distance-left:9.00pt;mso-wrap-distance-top:0.00pt;mso-wrap-distance-right:9.00pt;mso-wrap-distance-bottom:0.00pt;" stroked="f">
                <v:path textboxrect="0,0,0,0"/>
                <w10:wrap type="topAndBottom"/>
                <v:imagedata r:id="rId35" o:title=""/>
              </v:shape>
            </w:pict>
          </mc:Fallback>
        </mc:AlternateContent>
      </w:r>
      <w:r/>
    </w:p>
    <w:p>
      <w:pPr>
        <w:ind w:left="540"/>
        <w:jc w:val="center"/>
        <w:widowControl w:val="off"/>
      </w:pPr>
      <w:r>
        <w:t xml:space="preserve">Рисунок 17. Хомут подпружиненный</w:t>
      </w:r>
      <w:r/>
    </w:p>
    <w:p>
      <w:pPr>
        <w:ind w:left="540"/>
        <w:jc w:val="center"/>
        <w:widowControl w:val="off"/>
      </w:pPr>
      <w:r>
        <mc:AlternateContent>
          <mc:Choice Requires="wpg">
            <w:drawing>
              <wp:anchor xmlns:wp="http://schemas.openxmlformats.org/drawingml/2006/wordprocessingDrawing" xmlns:wp14="http://schemas.microsoft.com/office/word/2010/wordprocessingDrawing" distT="0" distB="0" distL="114300" distR="114300" simplePos="0" relativeHeight="25167462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246380</wp:posOffset>
                </wp:positionV>
                <wp:extent cx="4866005" cy="2488565"/>
                <wp:effectExtent l="0" t="0" r="0" b="6985"/>
                <wp:wrapTopAndBottom/>
                <wp:docPr id="28" name="Рисунок 1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62123434" name="Рисунок 21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6"/>
                        <a:stretch/>
                      </pic:blipFill>
                      <pic:spPr bwMode="auto">
                        <a:xfrm>
                          <a:off x="0" y="0"/>
                          <a:ext cx="4866004" cy="248856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2" o:spid="_x0000_s42" type="#_x0000_t75" style="position:absolute;z-index:251674624;o:allowoverlap:true;o:allowincell:true;mso-position-horizontal-relative:margin;mso-position-horizontal:center;mso-position-vertical-relative:text;margin-top:19.40pt;mso-position-vertical:absolute;width:383.15pt;height:195.95pt;mso-wrap-distance-left:9.00pt;mso-wrap-distance-top:0.00pt;mso-wrap-distance-right:9.00pt;mso-wrap-distance-bottom:0.00pt;" stroked="f">
                <v:path textboxrect="0,0,0,0"/>
                <w10:wrap type="topAndBottom"/>
                <v:imagedata r:id="rId36" o:title=""/>
              </v:shape>
            </w:pict>
          </mc:Fallback>
        </mc:AlternateContent>
      </w:r>
      <w:r/>
    </w:p>
    <w:p>
      <w:pPr>
        <w:ind w:left="540"/>
        <w:jc w:val="both"/>
        <w:widowControl w:val="off"/>
      </w:pPr>
      <w:r>
        <w:t xml:space="preserve">Рисунок 18. Универсальный хомут </w:t>
      </w:r>
      <w:r/>
    </w:p>
    <w:p>
      <w:pPr>
        <w:ind w:left="540"/>
        <w:jc w:val="both"/>
        <w:widowControl w:val="off"/>
      </w:pPr>
      <w:r/>
      <w:r/>
    </w:p>
    <w:p>
      <w:pPr>
        <w:pStyle w:val="1080"/>
        <w:numPr>
          <w:ilvl w:val="0"/>
          <w:numId w:val="64"/>
        </w:numPr>
        <w:jc w:val="both"/>
      </w:pPr>
      <w:r>
        <w:t xml:space="preserve">Эскизы типовых узлов крепления информационных знаков на деревянные опоры ВЛ, а также </w:t>
      </w:r>
      <w:r>
        <w:t xml:space="preserve">центрифугованные</w:t>
      </w:r>
      <w:r>
        <w:t xml:space="preserve"> и </w:t>
      </w:r>
      <w:r>
        <w:t xml:space="preserve">вибрированные</w:t>
      </w:r>
      <w:r>
        <w:t xml:space="preserve"> железобетонные стойки опор ВЛ, порталов РУ, оборудования ПС представлены на рисунках 19-20.</w:t>
      </w:r>
      <w:r/>
    </w:p>
    <w:p>
      <w:pPr>
        <w:ind w:left="540"/>
        <w:jc w:val="both"/>
        <w:widowControl w:val="off"/>
        <w:rPr>
          <w:i/>
        </w:rPr>
      </w:pPr>
      <w:r>
        <w:rPr>
          <w:i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375410" cy="2607945"/>
                <wp:effectExtent l="0" t="0" r="0" b="1905"/>
                <wp:docPr id="29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40237718" name="Рисунок 22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7"/>
                        <a:stretch/>
                      </pic:blipFill>
                      <pic:spPr bwMode="auto">
                        <a:xfrm>
                          <a:off x="0" y="0"/>
                          <a:ext cx="1375409" cy="26079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3" o:spid="_x0000_s43" type="#_x0000_t75" style="width:108.30pt;height:205.35pt;mso-wrap-distance-left:0.00pt;mso-wrap-distance-top:0.00pt;mso-wrap-distance-right:0.00pt;mso-wrap-distance-bottom:0.00pt;" stroked="f">
                <v:path textboxrect="0,0,0,0"/>
                <v:imagedata r:id="rId37" o:title=""/>
              </v:shape>
            </w:pict>
          </mc:Fallback>
        </mc:AlternateContent>
      </w:r>
      <w:r>
        <w:rPr>
          <w:i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1216660" cy="2512695"/>
                <wp:effectExtent l="0" t="0" r="2540" b="1905"/>
                <wp:docPr id="30" name="Рисунок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74175378" name="Рисунок 23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8"/>
                        <a:stretch/>
                      </pic:blipFill>
                      <pic:spPr bwMode="auto">
                        <a:xfrm>
                          <a:off x="0" y="0"/>
                          <a:ext cx="1216659" cy="251269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4" o:spid="_x0000_s44" type="#_x0000_t75" style="width:95.80pt;height:197.85pt;mso-wrap-distance-left:0.00pt;mso-wrap-distance-top:0.00pt;mso-wrap-distance-right:0.00pt;mso-wrap-distance-bottom:0.00pt;" stroked="f">
                <v:path textboxrect="0,0,0,0"/>
                <v:imagedata r:id="rId38" o:title=""/>
              </v:shape>
            </w:pict>
          </mc:Fallback>
        </mc:AlternateContent>
      </w:r>
      <w:r>
        <w:rPr>
          <w:i/>
        </w:rPr>
      </w:r>
      <w:r>
        <w:rPr>
          <w:i/>
        </w:rPr>
      </w:r>
    </w:p>
    <w:p>
      <w:pPr>
        <w:ind w:left="540"/>
        <w:jc w:val="center"/>
        <w:widowControl w:val="off"/>
      </w:pPr>
      <w:r/>
      <w:r/>
    </w:p>
    <w:p>
      <w:pPr>
        <w:ind w:left="540"/>
        <w:jc w:val="both"/>
        <w:widowControl w:val="off"/>
      </w:pPr>
      <w:r>
        <w:t xml:space="preserve">Рисунок 19. Крепление знака на стойках опор ВЛ, порталов РУ, оборудования ПС с использованием бандажной ленты</w:t>
      </w:r>
      <w:r/>
    </w:p>
    <w:p>
      <w:pPr>
        <w:ind w:left="540"/>
        <w:jc w:val="center"/>
        <w:widowControl w:val="off"/>
      </w:pPr>
      <w:r/>
      <w:r/>
    </w:p>
    <w:p>
      <w:pPr>
        <w:ind w:left="540"/>
        <w:jc w:val="center"/>
        <w:widowControl w:val="off"/>
      </w:pPr>
      <w:r/>
      <w:r/>
    </w:p>
    <w:p>
      <w:pPr>
        <w:ind w:left="540"/>
        <w:jc w:val="both"/>
        <w:widowControl w:val="off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115185" cy="1542415"/>
                <wp:effectExtent l="0" t="0" r="0" b="635"/>
                <wp:docPr id="31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36098031" name="Рисунок 24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39"/>
                        <a:stretch/>
                      </pic:blipFill>
                      <pic:spPr bwMode="auto">
                        <a:xfrm>
                          <a:off x="0" y="0"/>
                          <a:ext cx="2115184" cy="15424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5" o:spid="_x0000_s45" type="#_x0000_t75" style="width:166.55pt;height:121.45pt;mso-wrap-distance-left:0.00pt;mso-wrap-distance-top:0.00pt;mso-wrap-distance-right:0.00pt;mso-wrap-distance-bottom:0.00pt;" stroked="f">
                <v:path textboxrect="0,0,0,0"/>
                <v:imagedata r:id="rId39" o:title=""/>
              </v:shape>
            </w:pict>
          </mc:Fallback>
        </mc:AlternateContent>
      </w:r>
      <w:r/>
    </w:p>
    <w:p>
      <w:pPr>
        <w:ind w:left="540"/>
        <w:jc w:val="center"/>
        <w:widowControl w:val="off"/>
      </w:pPr>
      <w:r/>
      <w:r/>
    </w:p>
    <w:p>
      <w:pPr>
        <w:ind w:left="540"/>
        <w:jc w:val="both"/>
        <w:widowControl w:val="off"/>
      </w:pPr>
      <w:r>
        <w:t xml:space="preserve">Рисунок 20. Адаптер для крепления знака с использованием бандажной ленты</w:t>
      </w:r>
      <w:r/>
    </w:p>
    <w:p>
      <w:pPr>
        <w:jc w:val="both"/>
        <w:tabs>
          <w:tab w:val="left" w:pos="426" w:leader="none"/>
          <w:tab w:val="left" w:pos="851" w:leader="none"/>
          <w:tab w:val="left" w:pos="6048" w:leader="none"/>
          <w:tab w:val="left" w:pos="7144" w:leader="none"/>
          <w:tab w:val="left" w:pos="10182" w:leader="none"/>
          <w:tab w:val="left" w:pos="11203" w:leader="none"/>
          <w:tab w:val="left" w:pos="13807" w:leader="none"/>
          <w:tab w:val="left" w:pos="15354" w:leader="none"/>
        </w:tabs>
      </w:pPr>
      <w:r/>
      <w:r/>
    </w:p>
    <w:p>
      <w:pPr>
        <w:jc w:val="both"/>
        <w:rPr>
          <w:rFonts w:eastAsiaTheme="minorHAnsi"/>
          <w:highlight w:val="none"/>
        </w:rPr>
      </w:pPr>
      <w:r>
        <w:rPr>
          <w:rFonts w:eastAsiaTheme="minorHAnsi"/>
          <w:color w:val="000000" w:themeColor="text1"/>
          <w:highlight w:val="none"/>
          <w:lang w:eastAsia="en-US"/>
        </w:rPr>
        <w:t xml:space="preserve">1.10.7. </w:t>
      </w:r>
      <w:r>
        <w:rPr>
          <w:rFonts w:eastAsiaTheme="minorHAnsi"/>
          <w:highlight w:val="none"/>
          <w:lang w:eastAsia="en-US"/>
        </w:rPr>
        <w:t xml:space="preserve">В отношении продукции, </w:t>
      </w:r>
      <w:r>
        <w:rPr>
          <w:highlight w:val="none"/>
        </w:rPr>
        <w:t xml:space="preserve">указанной в прило</w:t>
      </w:r>
      <w:r>
        <w:rPr>
          <w:highlight w:val="white"/>
        </w:rPr>
        <w:t xml:space="preserve">ж</w:t>
      </w:r>
      <w:r>
        <w:rPr>
          <w:highlight w:val="white"/>
        </w:rPr>
        <w:t xml:space="preserve">ении №3.1 к част</w:t>
      </w:r>
      <w:r>
        <w:rPr>
          <w:highlight w:val="white"/>
        </w:rPr>
        <w:t xml:space="preserve">и II «ИНФОРМАЦИОННАЯ КАРТА ЗАКУПКИ» – Техническое предложение участника, а именно </w:t>
      </w:r>
      <w:r>
        <w:rPr>
          <w:highlight w:val="white"/>
        </w:rPr>
        <w:t xml:space="preserve">позиции № 1-17 </w:t>
      </w:r>
      <w:r>
        <w:rPr>
          <w:highlight w:val="white"/>
        </w:rPr>
        <w:t xml:space="preserve"> </w:t>
      </w:r>
      <w:r>
        <w:rPr>
          <w:highlight w:val="white"/>
        </w:rPr>
        <w:t xml:space="preserve">в соответствии с </w:t>
      </w:r>
      <w:r>
        <w:rPr>
          <w:highlight w:val="white"/>
        </w:rPr>
        <w:t xml:space="preserve">Постановлением Правительства Российской Федерации от 23 декабря 2024 г. №1875</w:t>
      </w:r>
      <w:r>
        <w:rPr>
          <w:highlight w:val="white"/>
        </w:rPr>
        <w:t xml:space="preserve"> </w:t>
      </w:r>
      <w:r>
        <w:rPr>
          <w:highlight w:val="white"/>
        </w:rPr>
        <w:t xml:space="preserve">«О мерах по предоставлению национального режима при осуществлении закупок товаров, работ, услуг для обеспечения государственных и муниципальных нужд, закупок товаров, работ, услуг отдельными </w:t>
      </w:r>
      <w:r>
        <w:rPr>
          <w:highlight w:val="white"/>
        </w:rPr>
        <w:t xml:space="preserve">видами юридических лиц», </w:t>
      </w:r>
      <w:r>
        <w:rPr>
          <w:b/>
          <w:highlight w:val="white"/>
        </w:rPr>
        <w:t xml:space="preserve">установлен запрет</w:t>
      </w:r>
      <w:r>
        <w:rPr>
          <w:rFonts w:eastAsiaTheme="minorHAnsi"/>
          <w:b/>
          <w:highlight w:val="white"/>
          <w:lang w:eastAsia="en-US"/>
        </w:rPr>
        <w:t xml:space="preserve"> закупок товаров, происходящих из иностранных государств</w:t>
      </w:r>
      <w:r>
        <w:rPr>
          <w:rFonts w:eastAsiaTheme="minorHAnsi"/>
          <w:highlight w:val="white"/>
          <w:lang w:eastAsia="en-US"/>
        </w:rPr>
        <w:t xml:space="preserve">.</w:t>
      </w:r>
      <w:r>
        <w:rPr>
          <w:rFonts w:eastAsiaTheme="minorHAnsi"/>
          <w:highlight w:val="none"/>
        </w:rPr>
      </w:r>
      <w:r>
        <w:rPr>
          <w:rFonts w:eastAsiaTheme="minorHAnsi"/>
          <w:highlight w:val="none"/>
        </w:rPr>
      </w:r>
    </w:p>
    <w:p>
      <w:pPr>
        <w:jc w:val="both"/>
        <w:tabs>
          <w:tab w:val="left" w:pos="426" w:leader="none"/>
        </w:tabs>
        <w:rPr>
          <w:color w:val="000000" w:themeColor="text1"/>
        </w:rPr>
      </w:pPr>
      <w:r>
        <w:rPr>
          <w:color w:val="000000" w:themeColor="text1"/>
        </w:rPr>
      </w:r>
      <w:r>
        <w:rPr>
          <w:color w:val="000000" w:themeColor="text1"/>
        </w:rPr>
      </w:r>
      <w:r>
        <w:rPr>
          <w:color w:val="000000" w:themeColor="text1"/>
        </w:rPr>
      </w:r>
    </w:p>
    <w:p>
      <w:pPr>
        <w:pStyle w:val="1094"/>
        <w:numPr>
          <w:ilvl w:val="0"/>
          <w:numId w:val="0"/>
        </w:numPr>
        <w:ind w:left="0" w:firstLine="0"/>
        <w:jc w:val="both"/>
        <w:pageBreakBefore w:val="0"/>
        <w:tabs>
          <w:tab w:val="left" w:pos="709" w:leader="none"/>
        </w:tabs>
        <w:rPr>
          <w:rFonts w:eastAsia="SimSun"/>
          <w:szCs w:val="24"/>
          <w:highlight w:val="none"/>
        </w:rPr>
      </w:pPr>
      <w:r>
        <w:rPr>
          <w:rFonts w:eastAsia="SimSun"/>
          <w:szCs w:val="24"/>
          <w:highlight w:val="none"/>
        </w:rPr>
        <w:t xml:space="preserve">2. Организационно-технические требования к Участникам закупки:</w:t>
      </w:r>
      <w:r>
        <w:rPr>
          <w:rFonts w:eastAsia="SimSun"/>
          <w:szCs w:val="24"/>
          <w:highlight w:val="none"/>
        </w:rPr>
      </w:r>
      <w:r>
        <w:rPr>
          <w:rFonts w:eastAsia="SimSun"/>
          <w:szCs w:val="24"/>
          <w:highlight w:val="none"/>
        </w:rPr>
      </w:r>
    </w:p>
    <w:p>
      <w:pPr>
        <w:pStyle w:val="1095"/>
        <w:numPr>
          <w:ilvl w:val="0"/>
          <w:numId w:val="0"/>
        </w:numPr>
        <w:ind w:left="0" w:firstLine="0"/>
        <w:rPr>
          <w:highlight w:val="white"/>
        </w:rPr>
      </w:pPr>
      <w:r>
        <w:rPr>
          <w:highlight w:val="none"/>
        </w:rPr>
        <w:t xml:space="preserve">2.1.</w:t>
      </w:r>
      <w:r>
        <w:rPr>
          <w:highlight w:val="none"/>
        </w:rPr>
        <w:t xml:space="preserve">Участник закупки должен соответствовать следующим обязательным требованиям (отборочн</w:t>
      </w:r>
      <w:r>
        <w:rPr>
          <w:highlight w:val="white"/>
        </w:rPr>
        <w:t xml:space="preserve">ые требования):</w:t>
      </w:r>
      <w:r>
        <w:rPr>
          <w:highlight w:val="white"/>
        </w:rPr>
      </w:r>
      <w:r>
        <w:rPr>
          <w:highlight w:val="white"/>
        </w:rPr>
      </w:r>
    </w:p>
    <w:p>
      <w:pPr>
        <w:pStyle w:val="1096"/>
        <w:numPr>
          <w:ilvl w:val="0"/>
          <w:numId w:val="0"/>
        </w:numPr>
        <w:contextualSpacing/>
        <w:ind w:left="0" w:firstLine="0"/>
        <w:spacing w:before="0"/>
        <w:tabs>
          <w:tab w:val="left" w:pos="709" w:leader="none"/>
        </w:tabs>
        <w:rPr>
          <w:rFonts w:eastAsia="MS Mincho"/>
          <w:highlight w:val="white"/>
        </w:rPr>
      </w:pPr>
      <w:r>
        <w:rPr>
          <w:rFonts w:eastAsia="MS Mincho"/>
          <w:highlight w:val="white"/>
          <w:lang w:eastAsia="ja-JP"/>
        </w:rPr>
        <w:t xml:space="preserve">2.1.1. </w:t>
      </w:r>
      <w:r>
        <w:rPr>
          <w:highlight w:val="white"/>
          <w:lang w:eastAsia="ja-JP"/>
        </w:rPr>
        <w:t xml:space="preserve">Техническое предложение участника закупки по поставке продукции должно соответствовать техническим требованиям, указанным в</w:t>
      </w:r>
      <w:r>
        <w:rPr>
          <w:highlight w:val="white"/>
          <w:lang w:eastAsia="ja-JP"/>
        </w:rPr>
        <w:t xml:space="preserve"> </w:t>
      </w:r>
      <w:r>
        <w:rPr>
          <w:rFonts w:eastAsia="Calibri"/>
          <w:szCs w:val="24"/>
          <w:highlight w:val="white"/>
          <w:lang w:eastAsia="en-US"/>
        </w:rPr>
        <w:t xml:space="preserve">Приложение №4 к Техническому заданию</w:t>
      </w:r>
      <w:r>
        <w:rPr>
          <w:highlight w:val="white"/>
        </w:rPr>
        <w:t xml:space="preserve">.</w:t>
      </w:r>
      <w:r>
        <w:rPr>
          <w:rFonts w:eastAsia="MS Mincho"/>
          <w:highlight w:val="white"/>
        </w:rPr>
      </w:r>
      <w:r>
        <w:rPr>
          <w:rFonts w:eastAsia="MS Mincho"/>
          <w:highlight w:val="white"/>
        </w:rPr>
      </w:r>
    </w:p>
    <w:p>
      <w:pPr>
        <w:pStyle w:val="1096"/>
        <w:numPr>
          <w:ilvl w:val="0"/>
          <w:numId w:val="0"/>
        </w:numPr>
        <w:contextualSpacing/>
        <w:ind w:left="0" w:firstLine="0"/>
        <w:spacing w:before="0"/>
        <w:tabs>
          <w:tab w:val="left" w:pos="709" w:leader="none"/>
        </w:tabs>
        <w:rPr>
          <w:rFonts w:eastAsia="MS Mincho"/>
          <w:highlight w:val="white"/>
        </w:rPr>
      </w:pPr>
      <w:r>
        <w:rPr>
          <w:rFonts w:eastAsia="MS Mincho"/>
          <w:highlight w:val="white"/>
          <w:lang w:eastAsia="ja-JP"/>
        </w:rPr>
      </w:r>
      <w:r>
        <w:rPr>
          <w:rFonts w:eastAsia="MS Mincho"/>
          <w:highlight w:val="white"/>
          <w:lang w:eastAsia="ja-JP"/>
        </w:rPr>
        <w:t xml:space="preserve">2.1.2. Иметь в составе заявки комплект документов, перечисленный в п.3 </w:t>
      </w:r>
      <w:r>
        <w:rPr>
          <w:highlight w:val="white"/>
        </w:rPr>
        <w:t xml:space="preserve">настоящего </w:t>
      </w:r>
      <w:r>
        <w:rPr>
          <w:rFonts w:eastAsia="MS Mincho"/>
          <w:highlight w:val="white"/>
          <w:lang w:eastAsia="ja-JP"/>
        </w:rPr>
        <w:t xml:space="preserve">ТЗ.</w:t>
      </w:r>
      <w:r>
        <w:rPr>
          <w:rFonts w:eastAsia="MS Mincho"/>
          <w:highlight w:val="white"/>
        </w:rPr>
      </w:r>
      <w:r>
        <w:rPr>
          <w:rFonts w:eastAsia="MS Mincho"/>
          <w:highlight w:val="white"/>
        </w:rPr>
      </w:r>
    </w:p>
    <w:p>
      <w:pPr>
        <w:pStyle w:val="1096"/>
        <w:numPr>
          <w:ilvl w:val="0"/>
          <w:numId w:val="0"/>
        </w:numPr>
        <w:contextualSpacing/>
        <w:ind w:left="0" w:firstLine="0"/>
        <w:spacing w:before="0"/>
        <w:tabs>
          <w:tab w:val="left" w:pos="709" w:leader="none"/>
        </w:tabs>
        <w:rPr>
          <w:rFonts w:eastAsia="MS Mincho"/>
          <w:highlight w:val="none"/>
        </w:rPr>
      </w:pPr>
      <w:r>
        <w:rPr>
          <w:highlight w:val="white"/>
        </w:rPr>
        <w:t xml:space="preserve">2.1.2. Участниками закуп</w:t>
      </w:r>
      <w:r>
        <w:rPr>
          <w:highlight w:val="none"/>
        </w:rPr>
        <w:t xml:space="preserve">ки могут быть любые лица, указанные в части 5 статьи 3 Федерального закона "О закупках товаров, работ, услуг отдельными видами юридических лиц", в т.ч. субъекты малого и среднего предпринимательства.</w:t>
      </w:r>
      <w:r>
        <w:rPr>
          <w:rFonts w:eastAsia="MS Mincho"/>
          <w:highlight w:val="none"/>
        </w:rPr>
      </w:r>
      <w:r>
        <w:rPr>
          <w:rFonts w:eastAsia="MS Mincho"/>
          <w:highlight w:val="none"/>
        </w:rPr>
      </w:r>
    </w:p>
    <w:p>
      <w:pPr>
        <w:pStyle w:val="1096"/>
        <w:numPr>
          <w:ilvl w:val="0"/>
          <w:numId w:val="0"/>
        </w:numPr>
        <w:contextualSpacing/>
        <w:tabs>
          <w:tab w:val="left" w:pos="709" w:leader="none"/>
        </w:tabs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pStyle w:val="1094"/>
        <w:numPr>
          <w:ilvl w:val="0"/>
          <w:numId w:val="0"/>
        </w:numPr>
        <w:ind w:left="0" w:firstLine="0"/>
        <w:jc w:val="both"/>
        <w:pageBreakBefore w:val="0"/>
        <w:tabs>
          <w:tab w:val="left" w:pos="709" w:leader="none"/>
        </w:tabs>
        <w:rPr>
          <w:rFonts w:eastAsia="SimSun"/>
          <w:szCs w:val="24"/>
          <w:highlight w:val="none"/>
        </w:rPr>
      </w:pPr>
      <w:r>
        <w:rPr>
          <w:rFonts w:eastAsia="SimSun"/>
          <w:szCs w:val="24"/>
          <w:highlight w:val="none"/>
        </w:rPr>
        <w:t xml:space="preserve">3. Перечень технических документов, обязательно предоставляемых Участниками в составе заявки на закупку:</w:t>
      </w:r>
      <w:r>
        <w:rPr>
          <w:rFonts w:eastAsia="SimSun"/>
          <w:szCs w:val="24"/>
          <w:highlight w:val="none"/>
        </w:rPr>
      </w:r>
      <w:r>
        <w:rPr>
          <w:rFonts w:eastAsia="SimSun"/>
          <w:szCs w:val="24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0" w:leader="none"/>
        </w:tabs>
        <w:rPr>
          <w:rFonts w:eastAsia="Calibri"/>
          <w:szCs w:val="24"/>
          <w:highlight w:val="none"/>
        </w:rPr>
      </w:pPr>
      <w:r>
        <w:rPr>
          <w:rFonts w:eastAsia="Calibri"/>
          <w:szCs w:val="24"/>
          <w:highlight w:val="none"/>
          <w:lang w:eastAsia="en-US"/>
        </w:rPr>
        <w:t xml:space="preserve">3.1. Приложение №4 к Техническому заданию участника в формате excel, заполненное в соответствии с инструкцией по заполнению:</w:t>
      </w:r>
      <w:r>
        <w:rPr>
          <w:rFonts w:eastAsia="Calibri"/>
          <w:szCs w:val="24"/>
          <w:highlight w:val="none"/>
        </w:rPr>
      </w:r>
      <w:r>
        <w:rPr>
          <w:rFonts w:eastAsia="Calibri"/>
          <w:szCs w:val="24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highlight w:val="white"/>
        </w:rPr>
      </w:pPr>
      <w:r>
        <w:rPr>
          <w:rFonts w:eastAsia="Calibri"/>
          <w:szCs w:val="24"/>
          <w:highlight w:val="none"/>
          <w:lang w:eastAsia="en-US"/>
        </w:rPr>
        <w:t xml:space="preserve">3.1.1. Приложение №4 к Техническому заданию заполняется строго по форме Заказчика, с обязате</w:t>
      </w:r>
      <w:r>
        <w:rPr>
          <w:rFonts w:eastAsia="Calibri"/>
          <w:szCs w:val="24"/>
          <w:highlight w:val="white"/>
          <w:lang w:eastAsia="en-US"/>
        </w:rPr>
        <w:t xml:space="preserve">льным заполнением столбцов, помеченных «*», с указанием гарантийного срока и соответствия технической части (пункты 1 и 2 под таблицей со знаком «*»).</w:t>
      </w:r>
      <w:r>
        <w:rPr>
          <w:rFonts w:eastAsia="Calibri"/>
          <w:highlight w:val="white"/>
        </w:rPr>
      </w:r>
      <w:r>
        <w:rPr>
          <w:rFonts w:eastAsia="Calibri"/>
          <w:highlight w:val="whit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highlight w:val="white"/>
        </w:rPr>
      </w:pPr>
      <w:r>
        <w:rPr>
          <w:highlight w:val="white"/>
        </w:rPr>
        <w:t xml:space="preserve">3.1.2. </w:t>
      </w:r>
      <w:r>
        <w:rPr>
          <w:highlight w:val="white"/>
        </w:rPr>
        <w:t xml:space="preserve">У</w:t>
      </w:r>
      <w:r>
        <w:rPr>
          <w:highlight w:val="white"/>
        </w:rPr>
        <w:t xml:space="preserve">частник закупки рассчитывает Цену за единицу продукции, путём применения «Единого итогового коэффициента снижения Участника на виды продукции (0&lt;K≤1)» к «Цене за единицу продукции по оценке Заказчика». Отсутствие указания «Единого итогового коэффициента сн</w:t>
      </w:r>
      <w:r>
        <w:rPr>
          <w:highlight w:val="white"/>
        </w:rPr>
        <w:t xml:space="preserve">ижения Участника на виды продукции (0&lt;K≤1)», либо указание «Единого итогового коэффициента снижения Участника» равного 0 или превышающего 1 (единицу) является основанием для отклонения Заявки участника.</w:t>
      </w:r>
      <w:r>
        <w:rPr>
          <w:rFonts w:eastAsia="Calibri"/>
          <w:highlight w:val="white"/>
        </w:rPr>
      </w:r>
      <w:r>
        <w:rPr>
          <w:rFonts w:eastAsia="Calibri"/>
          <w:highlight w:val="whit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highlight w:val="none"/>
        </w:rPr>
      </w:pPr>
      <w:r>
        <w:rPr>
          <w:rFonts w:eastAsia="Calibri"/>
          <w:szCs w:val="24"/>
          <w:highlight w:val="white"/>
        </w:rPr>
      </w:r>
      <w:r>
        <w:rPr>
          <w:highlight w:val="white"/>
        </w:rPr>
        <w:t xml:space="preserve">3.1.3. </w:t>
      </w:r>
      <w:r>
        <w:rPr>
          <w:highlight w:val="none"/>
        </w:rPr>
        <w:t xml:space="preserve">П</w:t>
      </w:r>
      <w:r>
        <w:rPr>
          <w:highlight w:val="none"/>
        </w:rPr>
        <w:t xml:space="preserve">рименяемый «Единый итоговый коэффициент снижения Участника на виды продукции (0&lt;K≤1)» явля</w:t>
      </w:r>
      <w:r>
        <w:rPr>
          <w:highlight w:val="none"/>
        </w:rPr>
        <w:t xml:space="preserve">ет</w:t>
      </w:r>
      <w:r>
        <w:rPr>
          <w:highlight w:val="none"/>
        </w:rPr>
        <w:t xml:space="preserve">ся единым для всех видов продукции</w:t>
      </w:r>
      <w:r>
        <w:rPr>
          <w:highlight w:val="none"/>
        </w:rPr>
        <w:t xml:space="preserve">.</w:t>
      </w:r>
      <w:r>
        <w:rPr>
          <w:rFonts w:eastAsia="Calibri"/>
          <w:highlight w:val="none"/>
        </w:rPr>
      </w:r>
      <w:r>
        <w:rPr>
          <w:rFonts w:eastAsia="Calibri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highlight w:val="none"/>
        </w:rPr>
      </w:pPr>
      <w:r>
        <w:rPr>
          <w:highlight w:val="none"/>
          <w:lang w:val="ru-RU"/>
        </w:rPr>
        <w:t xml:space="preserve">3.1.4. </w:t>
      </w:r>
      <w:r>
        <w:rPr>
          <w:highlight w:val="none"/>
          <w:lang w:val="ru-RU"/>
        </w:rPr>
        <w:t xml:space="preserve">В столбце «</w:t>
      </w:r>
      <w:r>
        <w:rPr>
          <w:highlight w:val="none"/>
          <w:lang w:val="ru-RU"/>
        </w:rPr>
        <w:t xml:space="preserve">Ставка НДС, %</w:t>
      </w:r>
      <w:r>
        <w:rPr>
          <w:highlight w:val="none"/>
          <w:lang w:val="ru-RU"/>
        </w:rPr>
        <w:t xml:space="preserve">» Участник указывает размер применяемой ставки НДС в процентах (5, 10, 22 и пр.).</w:t>
      </w:r>
      <w:r>
        <w:rPr>
          <w:highlight w:val="none"/>
          <w:lang w:val="ru-RU"/>
        </w:rPr>
        <w:t xml:space="preserve"> </w:t>
      </w:r>
      <w:r>
        <w:rPr>
          <w:highlight w:val="none"/>
          <w:lang w:val="ru-RU"/>
        </w:rPr>
        <w:t xml:space="preserve">В случае применения упрощенной системы налогообложения (без НДС) в столбце </w:t>
      </w:r>
      <w:r>
        <w:rPr>
          <w:highlight w:val="none"/>
          <w:lang w:val="ru-RU"/>
        </w:rPr>
        <w:t xml:space="preserve">«</w:t>
      </w:r>
      <w:r>
        <w:rPr>
          <w:highlight w:val="none"/>
          <w:lang w:val="ru-RU"/>
        </w:rPr>
        <w:t xml:space="preserve">Ставка НДС, %</w:t>
      </w:r>
      <w:r>
        <w:rPr>
          <w:highlight w:val="none"/>
          <w:lang w:val="ru-RU"/>
        </w:rPr>
        <w:t xml:space="preserve">»</w:t>
      </w:r>
      <w:r>
        <w:rPr>
          <w:highlight w:val="none"/>
          <w:lang w:val="ru-RU"/>
        </w:rPr>
        <w:t xml:space="preserve"> </w:t>
      </w:r>
      <w:r>
        <w:rPr>
          <w:highlight w:val="none"/>
          <w:lang w:val="ru-RU"/>
        </w:rPr>
        <w:t xml:space="preserve"> </w:t>
      </w:r>
      <w:r>
        <w:rPr>
          <w:highlight w:val="none"/>
          <w:lang w:val="ru-RU"/>
        </w:rPr>
        <w:t xml:space="preserve">у</w:t>
      </w:r>
      <w:r>
        <w:rPr>
          <w:highlight w:val="none"/>
          <w:lang w:val="ru-RU"/>
        </w:rPr>
        <w:t xml:space="preserve">к</w:t>
      </w:r>
      <w:r>
        <w:rPr>
          <w:highlight w:val="none"/>
          <w:lang w:val="ru-RU"/>
        </w:rPr>
        <w:t xml:space="preserve">а</w:t>
      </w:r>
      <w:r>
        <w:rPr>
          <w:highlight w:val="none"/>
          <w:lang w:val="ru-RU"/>
        </w:rPr>
        <w:t xml:space="preserve">з</w:t>
      </w:r>
      <w:r>
        <w:rPr>
          <w:highlight w:val="none"/>
          <w:lang w:val="ru-RU"/>
        </w:rPr>
        <w:t xml:space="preserve">ы</w:t>
      </w:r>
      <w:r>
        <w:rPr>
          <w:highlight w:val="none"/>
          <w:lang w:val="ru-RU"/>
        </w:rPr>
        <w:t xml:space="preserve">в</w:t>
      </w:r>
      <w:r>
        <w:rPr>
          <w:highlight w:val="none"/>
          <w:lang w:val="ru-RU"/>
        </w:rPr>
        <w:t xml:space="preserve">а</w:t>
      </w:r>
      <w:r>
        <w:rPr>
          <w:highlight w:val="none"/>
          <w:lang w:val="ru-RU"/>
        </w:rPr>
        <w:t xml:space="preserve">е</w:t>
      </w:r>
      <w:r>
        <w:rPr>
          <w:highlight w:val="none"/>
          <w:lang w:val="ru-RU"/>
        </w:rPr>
        <w:t xml:space="preserve">т</w:t>
      </w:r>
      <w:r>
        <w:rPr>
          <w:highlight w:val="none"/>
          <w:lang w:val="ru-RU"/>
        </w:rPr>
        <w:t xml:space="preserve">с</w:t>
      </w:r>
      <w:r>
        <w:rPr>
          <w:highlight w:val="none"/>
          <w:lang w:val="ru-RU"/>
        </w:rPr>
        <w:t xml:space="preserve">я</w:t>
      </w:r>
      <w:r>
        <w:rPr>
          <w:highlight w:val="none"/>
          <w:lang w:val="ru-RU"/>
        </w:rPr>
        <w:t xml:space="preserve"> </w:t>
      </w:r>
      <w:r>
        <w:rPr>
          <w:highlight w:val="none"/>
          <w:lang w:val="ru-RU"/>
        </w:rPr>
        <w:t xml:space="preserve">0</w:t>
      </w:r>
      <w:r>
        <w:rPr>
          <w:highlight w:val="none"/>
          <w:lang w:val="ru-RU"/>
        </w:rPr>
        <w:t xml:space="preserve"> </w:t>
      </w:r>
      <w:r>
        <w:rPr>
          <w:highlight w:val="none"/>
          <w:lang w:val="ru-RU"/>
        </w:rPr>
        <w:t xml:space="preserve">и</w:t>
      </w:r>
      <w:r>
        <w:rPr>
          <w:highlight w:val="none"/>
          <w:lang w:val="ru-RU"/>
        </w:rPr>
        <w:t xml:space="preserve">л</w:t>
      </w:r>
      <w:r>
        <w:rPr>
          <w:highlight w:val="none"/>
          <w:lang w:val="ru-RU"/>
        </w:rPr>
        <w:t xml:space="preserve">и</w:t>
      </w:r>
      <w:r>
        <w:rPr>
          <w:highlight w:val="none"/>
          <w:lang w:val="ru-RU"/>
        </w:rPr>
        <w:t xml:space="preserve"> </w:t>
      </w:r>
      <w:r>
        <w:rPr>
          <w:highlight w:val="none"/>
          <w:lang w:val="ru-RU"/>
        </w:rPr>
        <w:t xml:space="preserve">с</w:t>
      </w:r>
      <w:r>
        <w:rPr>
          <w:highlight w:val="none"/>
          <w:lang w:val="ru-RU"/>
        </w:rPr>
        <w:t xml:space="preserve">т</w:t>
      </w:r>
      <w:r>
        <w:rPr>
          <w:highlight w:val="none"/>
          <w:lang w:val="ru-RU"/>
        </w:rPr>
        <w:t xml:space="preserve">о</w:t>
      </w:r>
      <w:r>
        <w:rPr>
          <w:highlight w:val="none"/>
          <w:lang w:val="ru-RU"/>
        </w:rPr>
        <w:t xml:space="preserve">л</w:t>
      </w:r>
      <w:r>
        <w:rPr>
          <w:highlight w:val="none"/>
          <w:lang w:val="ru-RU"/>
        </w:rPr>
        <w:t xml:space="preserve">б</w:t>
      </w:r>
      <w:r>
        <w:rPr>
          <w:highlight w:val="none"/>
          <w:lang w:val="ru-RU"/>
        </w:rPr>
        <w:t xml:space="preserve">е</w:t>
      </w:r>
      <w:r>
        <w:rPr>
          <w:highlight w:val="none"/>
          <w:lang w:val="ru-RU"/>
        </w:rPr>
        <w:t xml:space="preserve">ц</w:t>
      </w:r>
      <w:r>
        <w:rPr>
          <w:highlight w:val="none"/>
          <w:lang w:val="ru-RU"/>
        </w:rPr>
        <w:t xml:space="preserve"> </w:t>
      </w:r>
      <w:r>
        <w:rPr>
          <w:highlight w:val="none"/>
          <w:lang w:val="ru-RU"/>
        </w:rPr>
        <w:t xml:space="preserve">н</w:t>
      </w:r>
      <w:r>
        <w:rPr>
          <w:highlight w:val="none"/>
          <w:lang w:val="ru-RU"/>
        </w:rPr>
        <w:t xml:space="preserve">е</w:t>
      </w:r>
      <w:r>
        <w:rPr>
          <w:highlight w:val="none"/>
          <w:lang w:val="ru-RU"/>
        </w:rPr>
        <w:t xml:space="preserve"> </w:t>
      </w:r>
      <w:r>
        <w:rPr>
          <w:highlight w:val="none"/>
          <w:lang w:val="ru-RU"/>
        </w:rPr>
        <w:t xml:space="preserve">з</w:t>
      </w:r>
      <w:r>
        <w:rPr>
          <w:highlight w:val="none"/>
          <w:lang w:val="ru-RU"/>
        </w:rPr>
        <w:t xml:space="preserve">а</w:t>
      </w:r>
      <w:r>
        <w:rPr>
          <w:highlight w:val="none"/>
          <w:lang w:val="ru-RU"/>
        </w:rPr>
        <w:t xml:space="preserve">п</w:t>
      </w:r>
      <w:r>
        <w:rPr>
          <w:highlight w:val="none"/>
          <w:lang w:val="ru-RU"/>
        </w:rPr>
        <w:t xml:space="preserve">о</w:t>
      </w:r>
      <w:r>
        <w:rPr>
          <w:highlight w:val="none"/>
          <w:lang w:val="ru-RU"/>
        </w:rPr>
        <w:t xml:space="preserve">л</w:t>
      </w:r>
      <w:r>
        <w:rPr>
          <w:highlight w:val="none"/>
          <w:lang w:val="ru-RU"/>
        </w:rPr>
        <w:t xml:space="preserve">н</w:t>
      </w:r>
      <w:r>
        <w:rPr>
          <w:highlight w:val="none"/>
          <w:lang w:val="ru-RU"/>
        </w:rPr>
        <w:t xml:space="preserve">я</w:t>
      </w:r>
      <w:r>
        <w:rPr>
          <w:highlight w:val="none"/>
          <w:lang w:val="ru-RU"/>
        </w:rPr>
        <w:t xml:space="preserve">е</w:t>
      </w:r>
      <w:r>
        <w:rPr>
          <w:highlight w:val="none"/>
          <w:lang w:val="ru-RU"/>
        </w:rPr>
        <w:t xml:space="preserve">т</w:t>
      </w:r>
      <w:r>
        <w:rPr>
          <w:highlight w:val="none"/>
          <w:lang w:val="ru-RU"/>
        </w:rPr>
        <w:t xml:space="preserve">с</w:t>
      </w:r>
      <w:r>
        <w:rPr>
          <w:highlight w:val="none"/>
          <w:lang w:val="ru-RU"/>
        </w:rPr>
        <w:t xml:space="preserve">я</w:t>
      </w:r>
      <w:r>
        <w:rPr>
          <w:highlight w:val="none"/>
          <w:lang w:val="ru-RU"/>
        </w:rPr>
        <w:t xml:space="preserve">.</w:t>
      </w:r>
      <w:r>
        <w:rPr>
          <w:rFonts w:eastAsia="Calibri"/>
          <w:highlight w:val="none"/>
        </w:rPr>
      </w:r>
      <w:r>
        <w:rPr>
          <w:rFonts w:eastAsia="Calibri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szCs w:val="24"/>
          <w:highlight w:val="none"/>
        </w:rPr>
      </w:pPr>
      <w:r>
        <w:rPr>
          <w:rFonts w:eastAsia="Calibri"/>
          <w:szCs w:val="24"/>
          <w:highlight w:val="none"/>
          <w:lang w:eastAsia="en-US"/>
        </w:rPr>
        <w:t xml:space="preserve">3.1.5. Не допускается изменять форму Приложения №4 к Техническому заданию. </w:t>
      </w:r>
      <w:r>
        <w:rPr>
          <w:rFonts w:eastAsia="Calibri"/>
          <w:szCs w:val="24"/>
          <w:highlight w:val="none"/>
        </w:rPr>
      </w:r>
      <w:r>
        <w:rPr>
          <w:rFonts w:eastAsia="Calibri"/>
          <w:szCs w:val="24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szCs w:val="24"/>
          <w:highlight w:val="none"/>
        </w:rPr>
      </w:pPr>
      <w:r>
        <w:rPr>
          <w:rFonts w:eastAsia="Calibri"/>
          <w:szCs w:val="24"/>
          <w:highlight w:val="none"/>
          <w:lang w:eastAsia="en-US"/>
        </w:rPr>
        <w:t xml:space="preserve">3.1.6. Не допускается изменять содержание, порядок строк и столбцов в таблице Приложения №4 к Техническому заданию.</w:t>
      </w:r>
      <w:r>
        <w:rPr>
          <w:rFonts w:eastAsia="Calibri"/>
          <w:szCs w:val="24"/>
          <w:highlight w:val="none"/>
        </w:rPr>
      </w:r>
      <w:r>
        <w:rPr>
          <w:rFonts w:eastAsia="Calibri"/>
          <w:szCs w:val="24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szCs w:val="24"/>
          <w:highlight w:val="none"/>
        </w:rPr>
      </w:pPr>
      <w:r>
        <w:rPr>
          <w:rFonts w:eastAsia="Calibri"/>
          <w:highlight w:val="none"/>
          <w:lang w:eastAsia="en-US"/>
        </w:rPr>
        <w:t xml:space="preserve">3.1.7. В столбце «Наименование производителя, ИНН» указывается только 1 (один) </w:t>
      </w:r>
      <w:r>
        <w:rPr>
          <w:rFonts w:eastAsia="Calibri"/>
          <w:highlight w:val="none"/>
          <w:lang w:eastAsia="en-US"/>
        </w:rPr>
        <w:t xml:space="preserve">производитель продукции.</w:t>
      </w:r>
      <w:r>
        <w:rPr>
          <w:rFonts w:eastAsia="Calibri"/>
          <w:szCs w:val="24"/>
          <w:highlight w:val="none"/>
        </w:rPr>
      </w:r>
      <w:r>
        <w:rPr>
          <w:rFonts w:eastAsia="Calibri"/>
          <w:szCs w:val="24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highlight w:val="none"/>
        </w:rPr>
      </w:pPr>
      <w:r>
        <w:rPr>
          <w:rFonts w:eastAsia="Calibri"/>
          <w:highlight w:val="none"/>
          <w:lang w:eastAsia="en-US"/>
        </w:rPr>
        <w:t xml:space="preserve">3.1.8. В столбце «ГОСТ, технический регламент, Техусловия (ТУ) на изготовление» Участником указывается конкретный «ГОСТ, технический регламент, Технические условия (ТУ) на изготовление» по каждой номенклатурной позиции. </w:t>
      </w:r>
      <w:r>
        <w:rPr>
          <w:rFonts w:eastAsia="Calibri"/>
          <w:highlight w:val="none"/>
        </w:rPr>
      </w:r>
      <w:r>
        <w:rPr>
          <w:rFonts w:eastAsia="Calibri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highlight w:val="none"/>
        </w:rPr>
      </w:pPr>
      <w:r>
        <w:rPr>
          <w:highlight w:val="none"/>
        </w:rPr>
        <w:t xml:space="preserve">3.1.9. </w:t>
      </w:r>
      <w:r>
        <w:rPr>
          <w:highlight w:val="none"/>
        </w:rPr>
        <w:t xml:space="preserve">В ц</w:t>
      </w:r>
      <w:r>
        <w:rPr>
          <w:highlight w:val="none"/>
        </w:rPr>
        <w:t xml:space="preserve">елях подтверждения страны происхождения товара</w:t>
      </w:r>
      <w:r>
        <w:rPr>
          <w:highlight w:val="none"/>
        </w:rPr>
        <w:t xml:space="preserve"> в соответствии с п.1.10.7 Технического задания</w:t>
      </w:r>
      <w:r>
        <w:rPr>
          <w:highlight w:val="none"/>
        </w:rPr>
        <w:t xml:space="preserve"> Участник в </w:t>
      </w:r>
      <w:r>
        <w:rPr>
          <w:highlight w:val="none"/>
        </w:rPr>
        <w:t xml:space="preserve">Приложении </w:t>
      </w:r>
      <w:r>
        <w:rPr>
          <w:rFonts w:eastAsia="Calibri"/>
          <w:szCs w:val="24"/>
          <w:highlight w:val="none"/>
          <w:lang w:eastAsia="en-US"/>
        </w:rPr>
        <w:t xml:space="preserve">№4 к Техническому заданию</w:t>
      </w:r>
      <w:r>
        <w:rPr>
          <w:highlight w:val="none"/>
        </w:rPr>
        <w:t xml:space="preserve"> заполняет столбец 12* «</w:t>
      </w:r>
      <w:r>
        <w:rPr>
          <w:highlight w:val="none"/>
        </w:rPr>
        <w:t xml:space="preserve">Включено в Реестр промышленной продукции/реестр промышленных товаров государств - членов ЕАЭС (да (указать № реестровой записи) / нет)</w:t>
      </w:r>
      <w:r>
        <w:rPr>
          <w:highlight w:val="none"/>
        </w:rPr>
        <w:t xml:space="preserve">» по каждой номенклатурной позиции</w:t>
      </w:r>
      <w:r>
        <w:rPr>
          <w:highlight w:val="none"/>
        </w:rPr>
        <w:t xml:space="preserve"> с  обязательным указанием в столбце 13* </w:t>
      </w:r>
      <w:r>
        <w:rPr>
          <w:highlight w:val="none"/>
        </w:rPr>
        <w:t xml:space="preserve">информации о совокупном количестве баллов / об уровне радиоэлектронной продукции из соответствующего реестра </w:t>
      </w:r>
      <w:r>
        <w:rPr>
          <w:highlight w:val="none"/>
        </w:rPr>
        <w:t xml:space="preserve">(при их наличии).</w:t>
      </w:r>
      <w:r>
        <w:rPr>
          <w:rFonts w:eastAsia="Calibri"/>
          <w:highlight w:val="none"/>
        </w:rPr>
      </w:r>
      <w:r>
        <w:rPr>
          <w:rFonts w:eastAsia="Calibri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highlight w:val="white"/>
        </w:rPr>
      </w:pPr>
      <w:r>
        <w:rPr>
          <w:rFonts w:eastAsia="Calibri"/>
          <w:szCs w:val="24"/>
          <w:highlight w:val="white"/>
        </w:rPr>
      </w:r>
      <w:r>
        <w:rPr>
          <w:highlight w:val="white"/>
        </w:rPr>
        <w:t xml:space="preserve">3.1.10. В случае непредоставления / </w:t>
      </w:r>
      <w:r>
        <w:rPr>
          <w:highlight w:val="white"/>
        </w:rPr>
        <w:t xml:space="preserve">не полного предоставления / </w:t>
      </w:r>
      <w:r>
        <w:rPr>
          <w:highlight w:val="white"/>
        </w:rPr>
        <w:t xml:space="preserve">некорректного предоставления </w:t>
      </w:r>
      <w:r>
        <w:rPr>
          <w:highlight w:val="white"/>
        </w:rPr>
        <w:t xml:space="preserve">/ </w:t>
      </w:r>
      <w:r>
        <w:rPr>
          <w:highlight w:val="white"/>
        </w:rPr>
        <w:t xml:space="preserve">предоставления недостоверных сведений в столбцах 12* и 13*, заявка такого Участника </w:t>
      </w:r>
      <w:r>
        <w:rPr>
          <w:highlight w:val="white"/>
        </w:rPr>
        <w:t xml:space="preserve">приравнивается к заявке на участие в закупке, в которой содержится предложение о поставке товара, происходящего из иностранного государства.</w:t>
      </w:r>
      <w:r>
        <w:rPr>
          <w:highlight w:val="white"/>
        </w:rPr>
        <w:t xml:space="preserve"> </w:t>
      </w:r>
      <w:r>
        <w:rPr>
          <w:rFonts w:eastAsia="Calibri"/>
          <w:highlight w:val="white"/>
        </w:rPr>
      </w:r>
      <w:r>
        <w:rPr>
          <w:rFonts w:eastAsia="Calibri"/>
          <w:highlight w:val="whit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szCs w:val="24"/>
          <w:highlight w:val="none"/>
        </w:rPr>
      </w:pPr>
      <w:r>
        <w:rPr>
          <w:rFonts w:eastAsia="Calibri"/>
          <w:highlight w:val="none"/>
          <w:lang w:eastAsia="en-US"/>
        </w:rPr>
        <w:t xml:space="preserve">3.1.11. В случае нарушения требований инструкции по заполнению (пп.3.1.1-</w:t>
      </w:r>
      <w:r>
        <w:rPr>
          <w:rFonts w:eastAsia="Calibri"/>
          <w:highlight w:val="none"/>
          <w:lang w:eastAsia="en-US"/>
        </w:rPr>
        <w:t xml:space="preserve">3</w:t>
      </w:r>
      <w:r>
        <w:rPr>
          <w:rFonts w:eastAsia="Calibri"/>
          <w:highlight w:val="white"/>
          <w:lang w:eastAsia="en-US"/>
        </w:rPr>
        <w:t xml:space="preserve">.1.</w:t>
      </w:r>
      <w:r>
        <w:rPr>
          <w:rFonts w:eastAsia="Calibri"/>
          <w:highlight w:val="white"/>
          <w:lang w:eastAsia="en-US"/>
        </w:rPr>
        <w:t xml:space="preserve">10</w:t>
      </w:r>
      <w:r>
        <w:rPr>
          <w:rFonts w:eastAsia="Calibri"/>
          <w:highlight w:val="white"/>
          <w:lang w:eastAsia="en-US"/>
        </w:rPr>
        <w:t xml:space="preserve"> на</w:t>
      </w:r>
      <w:r>
        <w:rPr>
          <w:rFonts w:eastAsia="Calibri"/>
          <w:highlight w:val="none"/>
          <w:lang w:eastAsia="en-US"/>
        </w:rPr>
        <w:t xml:space="preserve">стоящего приложения) заявка подлежит обязательному отклонению.</w:t>
      </w:r>
      <w:r>
        <w:rPr>
          <w:rFonts w:eastAsia="Calibri"/>
          <w:szCs w:val="24"/>
          <w:highlight w:val="none"/>
        </w:rPr>
      </w:r>
      <w:r>
        <w:rPr>
          <w:rFonts w:eastAsia="Calibri"/>
          <w:szCs w:val="24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szCs w:val="24"/>
          <w:highlight w:val="none"/>
        </w:rPr>
      </w:pPr>
      <w:r>
        <w:rPr>
          <w:rFonts w:eastAsia="Calibri"/>
          <w:highlight w:val="none"/>
          <w:lang w:eastAsia="en-US"/>
        </w:rPr>
        <w:t xml:space="preserve">3.1.12. Информация, указанная в Приложении № 4 к Техническому заданию </w:t>
      </w:r>
      <w:r>
        <w:rPr>
          <w:rFonts w:eastAsia="Calibri"/>
          <w:highlight w:val="none"/>
          <w:lang w:eastAsia="en-US"/>
        </w:rPr>
        <w:t xml:space="preserve">изменению</w:t>
      </w:r>
      <w:r>
        <w:rPr>
          <w:rFonts w:eastAsia="Calibri"/>
          <w:highlight w:val="none"/>
          <w:lang w:eastAsia="en-US"/>
        </w:rPr>
        <w:t xml:space="preserve"> не подлежит.</w:t>
      </w:r>
      <w:r>
        <w:rPr>
          <w:rFonts w:eastAsia="Calibri"/>
          <w:szCs w:val="24"/>
          <w:highlight w:val="none"/>
        </w:rPr>
      </w:r>
      <w:r>
        <w:rPr>
          <w:rFonts w:eastAsia="Calibri"/>
          <w:szCs w:val="24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284" w:leader="none"/>
        </w:tabs>
        <w:rPr>
          <w:rFonts w:eastAsia="Calibri"/>
          <w:szCs w:val="24"/>
          <w:highlight w:val="none"/>
        </w:rPr>
      </w:pPr>
      <w:r>
        <w:rPr>
          <w:highlight w:val="none"/>
        </w:rPr>
        <w:t xml:space="preserve">3.1.13. Не заполнение Участником закупки столбцов, не помеченных «*» в приложении №</w:t>
      </w:r>
      <w:r>
        <w:rPr>
          <w:rFonts w:eastAsia="Calibri"/>
          <w:highlight w:val="none"/>
          <w:lang w:eastAsia="en-US"/>
        </w:rPr>
        <w:t xml:space="preserve"> 4 к Техническому заданию</w:t>
      </w:r>
      <w:r>
        <w:rPr>
          <w:highlight w:val="none"/>
        </w:rPr>
        <w:t xml:space="preserve">, не является основанием для отклонения заявки Участника.</w:t>
      </w:r>
      <w:r>
        <w:rPr>
          <w:rFonts w:eastAsia="Calibri"/>
          <w:szCs w:val="24"/>
          <w:highlight w:val="none"/>
        </w:rPr>
      </w:r>
      <w:r>
        <w:rPr>
          <w:rFonts w:eastAsia="Calibri"/>
          <w:szCs w:val="24"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widowControl w:val="off"/>
        <w:tabs>
          <w:tab w:val="left" w:pos="0" w:leader="none"/>
          <w:tab w:val="left" w:pos="709" w:leader="none"/>
        </w:tabs>
        <w:rPr>
          <w:b/>
          <w:highlight w:val="none"/>
        </w:rPr>
      </w:pPr>
      <w:r>
        <w:rPr>
          <w:rFonts w:eastAsia="Calibri"/>
          <w:szCs w:val="24"/>
          <w:highlight w:val="none"/>
        </w:rPr>
        <w:t xml:space="preserve">3.2. </w:t>
      </w:r>
      <w:r>
        <w:rPr>
          <w:rFonts w:eastAsia="Calibri"/>
          <w:highlight w:val="none"/>
        </w:rPr>
        <w:t xml:space="preserve">Заполненные Участником опросные листы, чертежи</w:t>
      </w:r>
      <w:r>
        <w:rPr>
          <w:rFonts w:eastAsia="Calibri"/>
          <w:highlight w:val="none"/>
        </w:rPr>
        <w:t xml:space="preserve"> </w:t>
      </w:r>
      <w:r>
        <w:rPr>
          <w:rFonts w:eastAsia="Calibri"/>
          <w:highlight w:val="none"/>
          <w:lang w:eastAsia="en-US"/>
        </w:rPr>
        <w:t xml:space="preserve">(приложение №5 к </w:t>
      </w:r>
      <w:r>
        <w:rPr>
          <w:highlight w:val="none"/>
        </w:rPr>
        <w:t xml:space="preserve">Техническому заданию)</w:t>
      </w:r>
      <w:r>
        <w:rPr>
          <w:highlight w:val="none"/>
        </w:rPr>
        <w:t xml:space="preserve"> </w:t>
      </w:r>
      <w:r>
        <w:rPr>
          <w:szCs w:val="24"/>
          <w:highlight w:val="none"/>
        </w:rPr>
        <w:t xml:space="preserve">в соответствии с инструкцией по заполнению (приложение №5.1 </w:t>
      </w:r>
      <w:r>
        <w:rPr>
          <w:highlight w:val="none"/>
        </w:rPr>
        <w:t xml:space="preserve">Техническому заданию</w:t>
      </w:r>
      <w:r>
        <w:rPr>
          <w:szCs w:val="24"/>
          <w:highlight w:val="none"/>
        </w:rPr>
        <w:t xml:space="preserve">)</w:t>
      </w:r>
      <w:r>
        <w:rPr>
          <w:highlight w:val="none"/>
        </w:rPr>
        <w:t xml:space="preserve">.</w:t>
      </w:r>
      <w:r>
        <w:rPr>
          <w:b/>
          <w:highlight w:val="none"/>
        </w:rPr>
        <w:t xml:space="preserve"> </w:t>
      </w:r>
      <w:r>
        <w:rPr>
          <w:rFonts w:eastAsia="Calibri"/>
          <w:highlight w:val="none"/>
        </w:rPr>
        <w:t xml:space="preserve">В случае предложения Участником эквивалента заказываемой продукции: в подтверждение соответствия техническим требованиям заказываемой продукции согласно Приложения №</w:t>
      </w:r>
      <w:r>
        <w:rPr>
          <w:rFonts w:eastAsia="Calibri"/>
          <w:highlight w:val="none"/>
        </w:rPr>
        <w:t xml:space="preserve">4</w:t>
      </w:r>
      <w:r>
        <w:rPr>
          <w:rFonts w:eastAsia="Calibri"/>
          <w:highlight w:val="none"/>
        </w:rPr>
        <w:t xml:space="preserve"> к</w:t>
      </w:r>
      <w:r>
        <w:rPr>
          <w:rFonts w:eastAsia="Calibri"/>
          <w:highlight w:val="none"/>
        </w:rPr>
        <w:t xml:space="preserve"> ТЗ</w:t>
      </w:r>
      <w:r>
        <w:rPr>
          <w:rFonts w:eastAsia="Calibri"/>
          <w:highlight w:val="none"/>
        </w:rPr>
        <w:t xml:space="preserve">, параметры заменяемой продукции должны быть отражены в заполненных опросных листах (приложение №</w:t>
      </w:r>
      <w:r>
        <w:rPr>
          <w:rFonts w:eastAsia="Calibri"/>
          <w:highlight w:val="none"/>
        </w:rPr>
        <w:t xml:space="preserve">5 </w:t>
      </w:r>
      <w:r>
        <w:rPr>
          <w:highlight w:val="none"/>
        </w:rPr>
        <w:t xml:space="preserve">Техническому заданию</w:t>
      </w:r>
      <w:r>
        <w:rPr>
          <w:rFonts w:eastAsia="Calibri"/>
          <w:highlight w:val="none"/>
        </w:rPr>
        <w:t xml:space="preserve">).</w:t>
      </w:r>
      <w:r>
        <w:rPr>
          <w:b/>
          <w:highlight w:val="none"/>
        </w:rPr>
      </w:r>
      <w:r>
        <w:rPr>
          <w:b/>
          <w:highlight w:val="none"/>
        </w:rPr>
      </w:r>
    </w:p>
    <w:p>
      <w:pPr>
        <w:pStyle w:val="1096"/>
        <w:numPr>
          <w:ilvl w:val="0"/>
          <w:numId w:val="0"/>
        </w:numPr>
        <w:ind w:left="0" w:firstLine="0"/>
        <w:spacing w:before="0" w:after="0"/>
        <w:widowControl w:val="off"/>
        <w:tabs>
          <w:tab w:val="left" w:pos="284" w:leader="none"/>
        </w:tabs>
        <w:rPr>
          <w:rFonts w:eastAsia="Calibri"/>
          <w:highlight w:val="none"/>
        </w:rPr>
      </w:pPr>
      <w:r>
        <w:rPr>
          <w:rFonts w:eastAsia="Calibri"/>
          <w:szCs w:val="24"/>
          <w:highlight w:val="none"/>
        </w:rPr>
      </w:r>
      <w:r>
        <w:rPr>
          <w:rFonts w:eastAsia="Calibri"/>
          <w:highlight w:val="none"/>
        </w:rPr>
      </w:r>
      <w:r>
        <w:rPr>
          <w:rFonts w:eastAsia="Calibri"/>
          <w:highlight w:val="none"/>
        </w:rPr>
      </w:r>
    </w:p>
    <w:p>
      <w:pPr>
        <w:ind w:left="0" w:firstLine="0"/>
        <w:keepLines/>
        <w:spacing w:before="120" w:after="120"/>
        <w:rPr>
          <w:b/>
          <w:bCs/>
          <w:highlight w:val="none"/>
        </w:rPr>
      </w:pPr>
      <w:r>
        <w:rPr>
          <w:b/>
          <w:highlight w:val="none"/>
        </w:rPr>
        <w:t xml:space="preserve">4. Выбор победителя закупки</w:t>
      </w:r>
      <w:r>
        <w:rPr>
          <w:b/>
          <w:bCs/>
          <w:highlight w:val="none"/>
        </w:rPr>
      </w:r>
      <w:r>
        <w:rPr>
          <w:b/>
          <w:bCs/>
          <w:highlight w:val="none"/>
        </w:rPr>
      </w:r>
    </w:p>
    <w:p>
      <w:pPr>
        <w:pStyle w:val="1074"/>
        <w:ind w:firstLine="709"/>
        <w:jc w:val="both"/>
        <w:rPr>
          <w:rFonts w:eastAsia="Calibri"/>
          <w:sz w:val="24"/>
          <w:szCs w:val="24"/>
          <w:highlight w:val="none"/>
        </w:rPr>
      </w:pPr>
      <w:r>
        <w:rPr>
          <w:rFonts w:eastAsia="Calibri"/>
          <w:sz w:val="24"/>
          <w:szCs w:val="24"/>
          <w:highlight w:val="none"/>
          <w:lang w:eastAsia="en-US"/>
        </w:rPr>
        <w:t xml:space="preserve">Единственным критерием для определения Победителя является наименьшая цена заявки при условии соответствия самой заявки условиям сравнения цен.</w:t>
      </w:r>
      <w:r>
        <w:rPr>
          <w:rFonts w:eastAsia="Calibri"/>
          <w:sz w:val="24"/>
          <w:szCs w:val="24"/>
          <w:highlight w:val="none"/>
        </w:rPr>
      </w:r>
      <w:r>
        <w:rPr>
          <w:rFonts w:eastAsia="Calibri"/>
          <w:sz w:val="24"/>
          <w:szCs w:val="24"/>
          <w:highlight w:val="none"/>
        </w:rPr>
      </w:r>
    </w:p>
    <w:p>
      <w:pPr>
        <w:pStyle w:val="1074"/>
        <w:ind w:firstLine="709"/>
        <w:jc w:val="both"/>
        <w:rPr>
          <w:rFonts w:eastAsia="Calibri"/>
          <w:sz w:val="24"/>
          <w:szCs w:val="24"/>
          <w:highlight w:val="none"/>
        </w:rPr>
      </w:pPr>
      <w:r>
        <w:rPr>
          <w:rFonts w:eastAsia="Calibri"/>
          <w:sz w:val="24"/>
          <w:szCs w:val="24"/>
          <w:highlight w:val="none"/>
          <w:lang w:eastAsia="en-US"/>
        </w:rPr>
      </w:r>
      <w:r>
        <w:rPr>
          <w:rFonts w:eastAsia="Calibri"/>
          <w:sz w:val="24"/>
          <w:szCs w:val="24"/>
          <w:highlight w:val="none"/>
        </w:rPr>
      </w:r>
      <w:r>
        <w:rPr>
          <w:rFonts w:eastAsia="Calibri"/>
          <w:sz w:val="24"/>
          <w:szCs w:val="24"/>
          <w:highlight w:val="none"/>
        </w:rPr>
      </w:r>
    </w:p>
    <w:p>
      <w:pPr>
        <w:pStyle w:val="1074"/>
        <w:ind w:firstLine="709"/>
        <w:jc w:val="both"/>
        <w:rPr>
          <w:rFonts w:eastAsia="Calibri"/>
          <w:sz w:val="24"/>
          <w:szCs w:val="24"/>
          <w:highlight w:val="none"/>
        </w:rPr>
      </w:pPr>
      <w:r>
        <w:rPr>
          <w:rFonts w:eastAsia="Calibri"/>
          <w:sz w:val="24"/>
          <w:szCs w:val="24"/>
          <w:highlight w:val="none"/>
          <w:lang w:eastAsia="en-US"/>
        </w:rPr>
        <w:t xml:space="preserve">Если Правительством Российской Федерации в соответствии с законодательством о порядке примене</w:t>
      </w:r>
      <w:r>
        <w:rPr>
          <w:rFonts w:eastAsia="Calibri"/>
          <w:sz w:val="24"/>
          <w:szCs w:val="24"/>
          <w:highlight w:val="none"/>
          <w:lang w:eastAsia="en-US"/>
        </w:rPr>
        <w:t xml:space="preserve">ния национального режима установлено преимущество в отношении товаров российского происхождения (в том числе поставляемых при выполнении закупаемых работ, оказании закупаемых услуг), работ, услуг, соответственно выполняемых, оказываемых российскими лицами:</w:t>
      </w:r>
      <w:r>
        <w:rPr>
          <w:rFonts w:eastAsia="Calibri"/>
          <w:sz w:val="24"/>
          <w:szCs w:val="24"/>
          <w:highlight w:val="none"/>
        </w:rPr>
      </w:r>
      <w:r>
        <w:rPr>
          <w:rFonts w:eastAsia="Calibri"/>
          <w:sz w:val="24"/>
          <w:szCs w:val="24"/>
          <w:highlight w:val="none"/>
        </w:rPr>
      </w:r>
    </w:p>
    <w:p>
      <w:pPr>
        <w:pStyle w:val="1074"/>
        <w:numPr>
          <w:ilvl w:val="0"/>
          <w:numId w:val="50"/>
        </w:numPr>
        <w:ind w:left="0" w:right="0" w:firstLine="709"/>
        <w:jc w:val="both"/>
        <w:tabs>
          <w:tab w:val="left" w:pos="992" w:leader="none"/>
        </w:tabs>
        <w:rPr>
          <w:rFonts w:eastAsia="Calibri"/>
          <w:sz w:val="24"/>
          <w:szCs w:val="24"/>
          <w:highlight w:val="none"/>
          <w:lang w:eastAsia="en-US"/>
        </w:rPr>
      </w:pPr>
      <w:r>
        <w:rPr>
          <w:rFonts w:eastAsia="Calibri"/>
          <w:sz w:val="24"/>
          <w:szCs w:val="24"/>
          <w:highlight w:val="none"/>
          <w:lang w:eastAsia="en-US"/>
        </w:rPr>
        <w:t xml:space="preserve">при рассмотрении, оценке, сопоставлении заявок на участие в закупке, окончательных предложений осуществляется снижение на 15 (пятнадцать) % ценового предложения, поданного в соответствии с Законом 223-ФЗ и Стандартом уч</w:t>
      </w:r>
      <w:r>
        <w:rPr>
          <w:rFonts w:eastAsia="Calibri"/>
          <w:sz w:val="24"/>
          <w:szCs w:val="24"/>
          <w:highlight w:val="none"/>
          <w:lang w:eastAsia="en-US"/>
        </w:rPr>
        <w:t xml:space="preserve">астником закупки, предлагающим к поставке товар только российского происхождения, либо увеличение на 15 (пятнадцать) % ценового предложения этого участника закупки в случае подачи им предложения о размере платы, подлежащей внесению за заключение договора; </w:t>
      </w:r>
      <w:r>
        <w:rPr>
          <w:rFonts w:eastAsia="Calibri"/>
          <w:sz w:val="24"/>
          <w:szCs w:val="24"/>
          <w:highlight w:val="none"/>
          <w:lang w:eastAsia="en-US"/>
        </w:rPr>
      </w:r>
      <w:r>
        <w:rPr>
          <w:rFonts w:eastAsia="Calibri"/>
          <w:sz w:val="24"/>
          <w:szCs w:val="24"/>
          <w:highlight w:val="none"/>
          <w:lang w:eastAsia="en-US"/>
        </w:rPr>
      </w:r>
    </w:p>
    <w:p>
      <w:pPr>
        <w:pStyle w:val="1074"/>
        <w:numPr>
          <w:ilvl w:val="0"/>
          <w:numId w:val="50"/>
        </w:numPr>
        <w:ind w:left="0" w:right="0" w:firstLine="709"/>
        <w:jc w:val="both"/>
        <w:tabs>
          <w:tab w:val="left" w:pos="992" w:leader="none"/>
        </w:tabs>
        <w:rPr>
          <w:rFonts w:eastAsia="Calibri"/>
          <w:sz w:val="24"/>
          <w:szCs w:val="24"/>
          <w:highlight w:val="none"/>
          <w:lang w:eastAsia="en-US"/>
        </w:rPr>
      </w:pPr>
      <w:r>
        <w:rPr>
          <w:rFonts w:eastAsia="Calibri"/>
          <w:sz w:val="24"/>
          <w:szCs w:val="24"/>
          <w:highlight w:val="none"/>
          <w:lang w:eastAsia="en-US"/>
        </w:rPr>
      </w:r>
      <w:r>
        <w:rPr>
          <w:rFonts w:eastAsia="Calibri"/>
          <w:sz w:val="24"/>
          <w:szCs w:val="24"/>
          <w:highlight w:val="none"/>
          <w:lang w:eastAsia="en-US"/>
        </w:rPr>
        <w:t xml:space="preserve">в случае заключения договора с участником закупки, указанным в пп. а) настоящего пункта, договор заключается без учета снижения либо увеличения ценового предложения, осуществленных в соответствии с пп. а) настоящего пункта; </w:t>
      </w:r>
      <w:r>
        <w:rPr>
          <w:rFonts w:eastAsia="Calibri"/>
          <w:sz w:val="24"/>
          <w:szCs w:val="24"/>
          <w:highlight w:val="none"/>
          <w:lang w:eastAsia="en-US"/>
        </w:rPr>
      </w:r>
      <w:r>
        <w:rPr>
          <w:rFonts w:eastAsia="Calibri"/>
          <w:sz w:val="24"/>
          <w:szCs w:val="24"/>
          <w:highlight w:val="none"/>
          <w:lang w:eastAsia="en-US"/>
        </w:rPr>
      </w:r>
    </w:p>
    <w:p>
      <w:pPr>
        <w:pStyle w:val="1074"/>
        <w:numPr>
          <w:ilvl w:val="0"/>
          <w:numId w:val="50"/>
        </w:numPr>
        <w:ind w:left="0" w:right="0" w:firstLine="709"/>
        <w:jc w:val="both"/>
        <w:tabs>
          <w:tab w:val="left" w:pos="992" w:leader="none"/>
        </w:tabs>
        <w:rPr>
          <w:rFonts w:eastAsia="Calibri"/>
          <w:sz w:val="24"/>
          <w:szCs w:val="24"/>
          <w:highlight w:val="none"/>
        </w:rPr>
      </w:pPr>
      <w:r>
        <w:rPr>
          <w:rFonts w:eastAsia="Calibri"/>
          <w:sz w:val="24"/>
          <w:szCs w:val="24"/>
          <w:highlight w:val="none"/>
          <w:lang w:eastAsia="en-US"/>
        </w:rPr>
      </w:r>
      <w:r>
        <w:rPr>
          <w:rFonts w:eastAsia="Calibri"/>
          <w:sz w:val="24"/>
          <w:szCs w:val="24"/>
          <w:highlight w:val="none"/>
          <w:lang w:eastAsia="en-US"/>
        </w:rPr>
        <w:t xml:space="preserve">при исполнении договора допускается замена товара исключительно на товар российского происхождения, если договор предусматривает поставку товара российского происхождения.</w:t>
      </w:r>
      <w:r>
        <w:rPr>
          <w:rFonts w:eastAsia="Calibri"/>
          <w:sz w:val="24"/>
          <w:szCs w:val="24"/>
          <w:highlight w:val="none"/>
        </w:rPr>
      </w:r>
      <w:r>
        <w:rPr>
          <w:rFonts w:eastAsia="Calibri"/>
          <w:sz w:val="24"/>
          <w:szCs w:val="24"/>
          <w:highlight w:val="none"/>
        </w:rPr>
      </w:r>
    </w:p>
    <w:p>
      <w:pPr>
        <w:jc w:val="both"/>
        <w:rPr>
          <w:rFonts w:ascii="Times New Roman" w:hAnsi="Times New Roman" w:cs="Times New Roman"/>
          <w:b/>
          <w:bCs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</w:r>
      <w:r>
        <w:rPr>
          <w:rFonts w:ascii="Times New Roman" w:hAnsi="Times New Roman" w:cs="Times New Roman"/>
          <w:b/>
          <w:bCs/>
          <w:i/>
          <w:color w:val="auto"/>
        </w:rPr>
      </w:r>
      <w:r>
        <w:rPr>
          <w:rFonts w:ascii="Times New Roman" w:hAnsi="Times New Roman" w:cs="Times New Roman"/>
          <w:b/>
          <w:bCs/>
          <w:i/>
          <w:color w:val="auto"/>
        </w:rPr>
      </w:r>
    </w:p>
    <w:p>
      <w:pPr>
        <w:jc w:val="both"/>
        <w:rPr>
          <w:rFonts w:ascii="Times New Roman" w:hAnsi="Times New Roman" w:cs="Times New Roman"/>
          <w:b/>
          <w:i/>
          <w:color w:val="auto"/>
          <w:sz w:val="24"/>
          <w:szCs w:val="24"/>
        </w:rPr>
      </w:pPr>
      <w:r>
        <w:rPr>
          <w:rStyle w:val="1089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Приложение 1 (</w:t>
      </w:r>
      <w:r>
        <w:rPr>
          <w:rStyle w:val="1089"/>
          <w:rFonts w:ascii="Times New Roman" w:hAnsi="Times New Roman" w:cs="Times New Roman"/>
          <w:i/>
          <w:color w:val="auto"/>
          <w:sz w:val="24"/>
          <w:szCs w:val="24"/>
        </w:rPr>
        <w:t xml:space="preserve">обязательное). </w:t>
      </w:r>
      <w:r>
        <w:t xml:space="preserve">Обоснование начальной (максимальной) цены договора (форма).</w:t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</w:r>
      <w:r>
        <w:rPr>
          <w:rFonts w:ascii="Times New Roman" w:hAnsi="Times New Roman" w:cs="Times New Roman"/>
          <w:b/>
          <w:i/>
          <w:color w:val="auto"/>
          <w:sz w:val="24"/>
          <w:szCs w:val="24"/>
        </w:rPr>
      </w:r>
    </w:p>
    <w:p>
      <w:pPr>
        <w:jc w:val="both"/>
        <w:rPr>
          <w:highlight w:val="none"/>
        </w:rPr>
      </w:pPr>
      <w:r>
        <w:rPr>
          <w:highlight w:val="none"/>
        </w:rPr>
      </w:r>
      <w:r>
        <w:rPr>
          <w:rStyle w:val="1089"/>
          <w:rFonts w:ascii="Times New Roman" w:hAnsi="Times New Roman" w:cs="Times New Roman"/>
          <w:b/>
          <w:i/>
          <w:color w:val="auto"/>
          <w:highlight w:val="none"/>
        </w:rPr>
        <w:t xml:space="preserve">Приложение 2</w:t>
      </w:r>
      <w:r>
        <w:rPr>
          <w:rStyle w:val="1089"/>
          <w:rFonts w:ascii="Times New Roman" w:hAnsi="Times New Roman" w:cs="Times New Roman"/>
          <w:i/>
          <w:color w:val="auto"/>
          <w:highlight w:val="none"/>
        </w:rPr>
        <w:t xml:space="preserve"> </w:t>
      </w:r>
      <w:r>
        <w:rPr>
          <w:rStyle w:val="1089"/>
          <w:rFonts w:ascii="Times New Roman" w:hAnsi="Times New Roman" w:cs="Times New Roman"/>
          <w:b/>
          <w:i/>
          <w:color w:val="auto"/>
          <w:highlight w:val="none"/>
        </w:rPr>
        <w:t xml:space="preserve">(</w:t>
      </w:r>
      <w:r>
        <w:rPr>
          <w:rStyle w:val="1089"/>
          <w:rFonts w:ascii="Times New Roman" w:hAnsi="Times New Roman" w:cs="Times New Roman"/>
          <w:i/>
          <w:color w:val="auto"/>
          <w:highlight w:val="none"/>
        </w:rPr>
        <w:t xml:space="preserve">обязательное). </w:t>
      </w:r>
      <w:r>
        <w:rPr>
          <w:highlight w:val="none"/>
        </w:rPr>
        <w:t xml:space="preserve">Проект договора (форма). </w:t>
      </w:r>
      <w:r>
        <w:rPr>
          <w:highlight w:val="none"/>
        </w:rPr>
      </w:r>
      <w:r>
        <w:rPr>
          <w:highlight w:val="none"/>
        </w:rPr>
      </w:r>
    </w:p>
    <w:p>
      <w:pPr>
        <w:pStyle w:val="1080"/>
        <w:ind w:left="0"/>
        <w:jc w:val="both"/>
        <w:tabs>
          <w:tab w:val="left" w:pos="0" w:leader="none"/>
          <w:tab w:val="left" w:pos="1418" w:leader="none"/>
          <w:tab w:val="left" w:pos="2410" w:leader="none"/>
          <w:tab w:val="left" w:pos="2552" w:leader="none"/>
        </w:tabs>
        <w:rPr>
          <w:highlight w:val="none"/>
        </w:rPr>
        <w:outlineLvl w:val="0"/>
      </w:pPr>
      <w:r>
        <w:rPr>
          <w:rStyle w:val="1089"/>
          <w:rFonts w:ascii="Times New Roman" w:hAnsi="Times New Roman" w:cs="Times New Roman"/>
          <w:b/>
          <w:i/>
          <w:color w:val="auto"/>
          <w:highlight w:val="none"/>
        </w:rPr>
        <w:t xml:space="preserve">Приложение 3 </w:t>
      </w:r>
      <w:r>
        <w:rPr>
          <w:rStyle w:val="1089"/>
          <w:rFonts w:ascii="Times New Roman" w:hAnsi="Times New Roman" w:cs="Times New Roman"/>
          <w:i/>
          <w:color w:val="auto"/>
          <w:highlight w:val="none"/>
        </w:rPr>
        <w:t xml:space="preserve">(обязательное). </w:t>
      </w:r>
      <w:r>
        <w:rPr>
          <w:highlight w:val="none"/>
        </w:rPr>
        <w:t xml:space="preserve">Реквизиты грузополучателей.</w:t>
      </w:r>
      <w:r>
        <w:rPr>
          <w:highlight w:val="none"/>
        </w:rPr>
      </w:r>
      <w:r>
        <w:rPr>
          <w:highlight w:val="none"/>
        </w:rPr>
      </w:r>
    </w:p>
    <w:p>
      <w:pPr>
        <w:jc w:val="both"/>
        <w:tabs>
          <w:tab w:val="left" w:pos="993" w:leader="none"/>
        </w:tabs>
        <w:rPr>
          <w:bCs/>
          <w:i/>
          <w:highlight w:val="none"/>
        </w:rPr>
      </w:pPr>
      <w:r>
        <w:rPr>
          <w:rStyle w:val="1089"/>
          <w:rFonts w:ascii="Times New Roman" w:hAnsi="Times New Roman" w:cs="Times New Roman"/>
          <w:b/>
          <w:i/>
          <w:color w:val="auto"/>
          <w:highlight w:val="none"/>
        </w:rPr>
        <w:t xml:space="preserve">Приложение 4 </w:t>
      </w:r>
      <w:r>
        <w:rPr>
          <w:rStyle w:val="1089"/>
          <w:rFonts w:ascii="Times New Roman" w:hAnsi="Times New Roman" w:cs="Times New Roman"/>
          <w:i/>
          <w:color w:val="auto"/>
          <w:highlight w:val="none"/>
        </w:rPr>
        <w:t xml:space="preserve">(обязательное). </w:t>
      </w:r>
      <w:r>
        <w:rPr>
          <w:highlight w:val="none"/>
        </w:rPr>
        <w:t xml:space="preserve">Предложение о цене договора</w:t>
      </w:r>
      <w:r>
        <w:rPr>
          <w:highlight w:val="none"/>
        </w:rPr>
        <w:t xml:space="preserve"> </w:t>
      </w:r>
      <w:r>
        <w:rPr>
          <w:rFonts w:eastAsia="Calibri"/>
          <w:highlight w:val="none"/>
          <w:lang w:eastAsia="en-US"/>
        </w:rPr>
        <w:t xml:space="preserve">в формате </w:t>
      </w:r>
      <w:r>
        <w:rPr>
          <w:rFonts w:eastAsia="Calibri"/>
          <w:highlight w:val="none"/>
          <w:lang w:val="en-US" w:eastAsia="en-US"/>
        </w:rPr>
        <w:t xml:space="preserve">excel</w:t>
      </w:r>
      <w:r>
        <w:rPr>
          <w:highlight w:val="none"/>
        </w:rPr>
        <w:t xml:space="preserve"> (форма).</w:t>
      </w:r>
      <w:r>
        <w:rPr>
          <w:i/>
          <w:highlight w:val="none"/>
        </w:rPr>
        <w:t xml:space="preserve"> </w:t>
      </w:r>
      <w:r>
        <w:rPr>
          <w:bCs/>
          <w:i/>
          <w:highlight w:val="none"/>
        </w:rPr>
      </w:r>
      <w:r>
        <w:rPr>
          <w:bCs/>
          <w:i/>
          <w:highlight w:val="none"/>
        </w:rPr>
      </w:r>
    </w:p>
    <w:p>
      <w:pPr>
        <w:jc w:val="both"/>
        <w:tabs>
          <w:tab w:val="left" w:pos="993" w:leader="none"/>
        </w:tabs>
        <w:rPr>
          <w:bCs/>
          <w:i/>
          <w:highlight w:val="none"/>
        </w:rPr>
      </w:pPr>
      <w:r>
        <w:rPr>
          <w:i/>
          <w:highlight w:val="none"/>
        </w:rPr>
      </w:r>
      <w:r>
        <w:rPr>
          <w:rStyle w:val="1089"/>
          <w:rFonts w:ascii="Times New Roman" w:hAnsi="Times New Roman" w:cs="Times New Roman"/>
          <w:b/>
          <w:i/>
          <w:color w:val="auto"/>
          <w:highlight w:val="none"/>
        </w:rPr>
        <w:t xml:space="preserve">Приложение </w:t>
      </w:r>
      <w:r>
        <w:rPr>
          <w:rStyle w:val="1089"/>
          <w:rFonts w:ascii="Times New Roman" w:hAnsi="Times New Roman" w:cs="Times New Roman"/>
          <w:b/>
          <w:i/>
          <w:color w:val="auto"/>
          <w:highlight w:val="none"/>
        </w:rPr>
        <w:t xml:space="preserve">5</w:t>
      </w:r>
      <w:r>
        <w:rPr>
          <w:rStyle w:val="1089"/>
          <w:rFonts w:ascii="Times New Roman" w:hAnsi="Times New Roman" w:cs="Times New Roman"/>
          <w:b/>
          <w:i/>
          <w:color w:val="auto"/>
          <w:highlight w:val="none"/>
        </w:rPr>
        <w:t xml:space="preserve"> </w:t>
      </w:r>
      <w:r>
        <w:rPr>
          <w:rStyle w:val="1089"/>
          <w:rFonts w:ascii="Times New Roman" w:hAnsi="Times New Roman" w:cs="Times New Roman"/>
          <w:i/>
          <w:color w:val="auto"/>
          <w:highlight w:val="none"/>
        </w:rPr>
        <w:t xml:space="preserve">(обязательное). </w:t>
      </w:r>
      <w:r>
        <w:rPr>
          <w:highlight w:val="none"/>
        </w:rPr>
        <w:t xml:space="preserve">Опросные </w:t>
      </w:r>
      <w:r>
        <w:rPr>
          <w:highlight w:val="none"/>
        </w:rPr>
        <w:t xml:space="preserve">листы</w:t>
      </w:r>
      <w:r>
        <w:rPr>
          <w:rFonts w:eastAsiaTheme="majorEastAsia"/>
          <w:highlight w:val="none"/>
        </w:rPr>
        <w:t xml:space="preserve"> с инструкцией по заполнению (Приложение 5.1.)</w:t>
      </w:r>
      <w:r>
        <w:rPr>
          <w:bCs/>
          <w:i/>
          <w:highlight w:val="none"/>
        </w:rPr>
      </w:r>
      <w:r>
        <w:rPr>
          <w:bCs/>
          <w:i/>
          <w:highlight w:val="none"/>
        </w:rPr>
      </w:r>
    </w:p>
    <w:p>
      <w:pPr>
        <w:pStyle w:val="1080"/>
        <w:ind w:left="0"/>
        <w:jc w:val="both"/>
        <w:tabs>
          <w:tab w:val="left" w:pos="0" w:leader="none"/>
          <w:tab w:val="left" w:pos="1418" w:leader="none"/>
          <w:tab w:val="left" w:pos="2410" w:leader="none"/>
          <w:tab w:val="left" w:pos="2552" w:leader="none"/>
        </w:tabs>
        <w:outlineLvl w:val="0"/>
      </w:pPr>
      <w:r/>
      <w:r/>
    </w:p>
    <w:p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</w:r>
      <w:r>
        <w:rPr>
          <w:i/>
          <w:sz w:val="28"/>
          <w:szCs w:val="28"/>
        </w:rPr>
      </w:r>
      <w:r>
        <w:rPr>
          <w:i/>
          <w:sz w:val="28"/>
          <w:szCs w:val="28"/>
        </w:rPr>
      </w:r>
    </w:p>
    <w:p>
      <w:pPr>
        <w:ind w:right="76"/>
        <w:jc w:val="both"/>
        <w:rPr>
          <w:b/>
          <w:bCs/>
          <w:highlight w:val="none"/>
        </w:rPr>
      </w:pPr>
      <w:r>
        <w:rPr>
          <w:b/>
        </w:rPr>
        <w:t xml:space="preserve">Все приложения к настоящему Техническому заданию являются его неотъемлемой частью и изменению не подлежат.</w:t>
      </w:r>
      <w:r>
        <w:rPr>
          <w:b/>
          <w:bCs/>
          <w:highlight w:val="none"/>
        </w:rPr>
      </w:r>
      <w:r>
        <w:rPr>
          <w:b/>
          <w:bCs/>
          <w:highlight w:val="none"/>
        </w:rPr>
      </w:r>
    </w:p>
    <w:p>
      <w:pPr>
        <w:ind w:right="76"/>
        <w:jc w:val="both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ind w:right="76"/>
        <w:jc w:val="both"/>
        <w:rPr>
          <w:b/>
          <w:bCs/>
        </w:rPr>
      </w:pPr>
      <w:r>
        <w:rPr>
          <w:b/>
          <w:bCs/>
        </w:rPr>
      </w:r>
      <w:r>
        <w:rPr>
          <w:b/>
          <w:bCs/>
        </w:rPr>
      </w:r>
      <w:r>
        <w:rPr>
          <w:b/>
          <w:bCs/>
        </w:rPr>
      </w:r>
    </w:p>
    <w:p>
      <w:pPr>
        <w:jc w:val="left"/>
        <w:rPr>
          <w:b w:val="0"/>
          <w:bCs w:val="0"/>
          <w:highlight w:val="none"/>
        </w:rPr>
      </w:pPr>
      <w:r>
        <w:rPr>
          <w:highlight w:val="none"/>
        </w:rPr>
        <w:t xml:space="preserve">Техническое задани</w:t>
      </w:r>
      <w:r>
        <w:rPr>
          <w:b w:val="0"/>
          <w:bCs w:val="0"/>
          <w:highlight w:val="none"/>
        </w:rPr>
        <w:t xml:space="preserve">е с</w:t>
      </w:r>
      <w:r>
        <w:rPr>
          <w:b w:val="0"/>
          <w:bCs w:val="0"/>
          <w:highlight w:val="none"/>
        </w:rPr>
        <w:t xml:space="preserve">оставил:</w:t>
      </w:r>
      <w:r>
        <w:rPr>
          <w:b w:val="0"/>
          <w:bCs w:val="0"/>
          <w:highlight w:val="none"/>
        </w:rPr>
        <w:tab/>
      </w:r>
      <w:r>
        <w:rPr>
          <w:b w:val="0"/>
          <w:bCs w:val="0"/>
          <w:highlight w:val="none"/>
        </w:rPr>
      </w:r>
      <w:r>
        <w:rPr>
          <w:b w:val="0"/>
          <w:bCs w:val="0"/>
          <w:highlight w:val="none"/>
        </w:rPr>
      </w:r>
    </w:p>
    <w:p>
      <w:pPr>
        <w:jc w:val="left"/>
        <w:rPr>
          <w:highlight w:val="none"/>
        </w:rPr>
      </w:pPr>
      <w:r>
        <w:rPr>
          <w:b w:val="0"/>
          <w:bCs w:val="0"/>
          <w:highlight w:val="none"/>
        </w:rPr>
      </w:r>
      <w:r>
        <w:rPr>
          <w:b/>
          <w:highlight w:val="none"/>
        </w:rPr>
        <w:tab/>
      </w:r>
      <w:r>
        <w:rPr>
          <w:highlight w:val="none"/>
        </w:rPr>
      </w:r>
      <w:r>
        <w:rPr>
          <w:highlight w:val="none"/>
        </w:rPr>
      </w:r>
    </w:p>
    <w:tbl>
      <w:tblPr>
        <w:tblW w:w="9923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273"/>
        <w:gridCol w:w="3045"/>
      </w:tblGrid>
      <w:tr>
        <w:tblPrEx/>
        <w:trPr>
          <w:cantSplit/>
          <w:trHeight w:val="380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73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b/>
                <w:sz w:val="20"/>
                <w:szCs w:val="20"/>
                <w:highlight w:val="none"/>
              </w:rPr>
            </w:pPr>
            <w:r>
              <w:rPr>
                <w:b/>
                <w:sz w:val="20"/>
                <w:szCs w:val="20"/>
                <w:highlight w:val="none"/>
              </w:rPr>
              <w:t xml:space="preserve">Должность, структурное подразделение</w:t>
            </w:r>
            <w:r>
              <w:rPr>
                <w:b/>
                <w:sz w:val="20"/>
                <w:szCs w:val="20"/>
                <w:highlight w:val="none"/>
              </w:rPr>
            </w:r>
            <w:r>
              <w:rPr>
                <w:b/>
                <w:sz w:val="20"/>
                <w:szCs w:val="20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5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rPr>
                <w:b/>
                <w:sz w:val="20"/>
                <w:szCs w:val="20"/>
                <w:highlight w:val="none"/>
              </w:rPr>
            </w:pPr>
            <w:r>
              <w:rPr>
                <w:b/>
                <w:sz w:val="20"/>
                <w:szCs w:val="20"/>
                <w:highlight w:val="none"/>
              </w:rPr>
              <w:t xml:space="preserve">Фамилия, инициалы</w:t>
            </w:r>
            <w:r>
              <w:rPr>
                <w:b/>
                <w:sz w:val="20"/>
                <w:szCs w:val="20"/>
                <w:highlight w:val="none"/>
              </w:rPr>
            </w:r>
            <w:r>
              <w:rPr>
                <w:b/>
                <w:sz w:val="20"/>
                <w:szCs w:val="20"/>
                <w:highlight w:val="none"/>
              </w:rPr>
            </w:r>
          </w:p>
        </w:tc>
      </w:tr>
      <w:tr>
        <w:tblPrEx/>
        <w:trPr>
          <w:cantSplit/>
          <w:trHeight w:val="533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4273" w:type="dxa"/>
            <w:textDirection w:val="lrTb"/>
            <w:noWrap w:val="false"/>
          </w:tcPr>
          <w:p>
            <w:pPr>
              <w:rPr>
                <w:sz w:val="20"/>
                <w:szCs w:val="20"/>
                <w:highlight w:val="none"/>
              </w:rPr>
            </w:pPr>
            <w:r>
              <w:rPr>
                <w:sz w:val="20"/>
                <w:szCs w:val="20"/>
                <w:highlight w:val="none"/>
              </w:rPr>
              <w:t xml:space="preserve">Ведущий специалист УЛиМТО</w:t>
            </w:r>
            <w:r>
              <w:rPr>
                <w:sz w:val="20"/>
                <w:szCs w:val="20"/>
                <w:highlight w:val="none"/>
              </w:rPr>
            </w:r>
            <w:r>
              <w:rPr>
                <w:sz w:val="20"/>
                <w:szCs w:val="20"/>
                <w:highlight w:val="none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3045" w:type="dxa"/>
            <w:textDirection w:val="lrTb"/>
            <w:noWrap w:val="false"/>
          </w:tcPr>
          <w:p>
            <w:pPr>
              <w:rPr>
                <w:sz w:val="20"/>
                <w:szCs w:val="20"/>
                <w:highlight w:val="none"/>
              </w:rPr>
            </w:pPr>
            <w:r>
              <w:rPr>
                <w:sz w:val="20"/>
                <w:szCs w:val="20"/>
                <w:highlight w:val="none"/>
              </w:rPr>
              <w:t xml:space="preserve">Касаткина В.С.</w:t>
            </w:r>
            <w:r>
              <w:rPr>
                <w:sz w:val="20"/>
                <w:szCs w:val="20"/>
                <w:highlight w:val="none"/>
              </w:rPr>
            </w:r>
            <w:r>
              <w:rPr>
                <w:sz w:val="20"/>
                <w:szCs w:val="20"/>
                <w:highlight w:val="none"/>
              </w:rPr>
            </w:r>
          </w:p>
        </w:tc>
      </w:tr>
    </w:tbl>
    <w:p>
      <w:pPr>
        <w:ind w:right="76"/>
        <w:jc w:val="both"/>
        <w:rPr>
          <w:b/>
          <w:bCs/>
        </w:rPr>
      </w:pPr>
      <w:r>
        <w:rPr>
          <w:b/>
          <w:highlight w:val="none"/>
        </w:rPr>
      </w:r>
      <w:r>
        <w:rPr>
          <w:b/>
          <w:bCs/>
        </w:rPr>
      </w:r>
      <w:r>
        <w:rPr>
          <w:b/>
          <w:bCs/>
        </w:rPr>
      </w:r>
    </w:p>
    <w:p>
      <w:pPr>
        <w:ind w:left="5387"/>
        <w:pageBreakBefore/>
      </w:pPr>
      <w:r>
        <w:t xml:space="preserve">Приложение 1 к Техническому заданию </w:t>
      </w:r>
      <w:r/>
    </w:p>
    <w:p>
      <w:pPr>
        <w:ind w:left="5387"/>
        <w:rPr>
          <w:bCs/>
        </w:rPr>
      </w:pPr>
      <w:r>
        <w:t xml:space="preserve">(обязательное)</w:t>
      </w:r>
      <w:r>
        <w:rPr>
          <w:bCs/>
        </w:rPr>
      </w:r>
      <w:r>
        <w:rPr>
          <w:bCs/>
        </w:rPr>
      </w:r>
    </w:p>
    <w:p>
      <w:pPr>
        <w:pStyle w:val="109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ФОРМА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109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ind w:firstLine="851"/>
        <w:jc w:val="center"/>
        <w:spacing w:before="411" w:after="274" w:line="343" w:lineRule="atLeast"/>
        <w:shd w:val="clear" w:color="auto" w:fill="ffffff"/>
        <w:rPr>
          <w:sz w:val="28"/>
          <w:szCs w:val="28"/>
        </w:rPr>
        <w:pBdr>
          <w:bottom w:val="single" w:color="000000" w:sz="12" w:space="1"/>
        </w:pBdr>
        <w:outlineLvl w:val="1"/>
      </w:pPr>
      <w:r>
        <w:rPr>
          <w:sz w:val="28"/>
          <w:szCs w:val="28"/>
        </w:rPr>
        <w:t xml:space="preserve">Обоснование начальной (максимальной) цены договора 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firstLine="851"/>
        <w:jc w:val="center"/>
        <w:spacing w:before="411" w:line="343" w:lineRule="atLeast"/>
        <w:shd w:val="clear" w:color="auto" w:fill="ffffff"/>
        <w:rPr>
          <w:b w:val="0"/>
          <w:bCs w:val="0"/>
          <w:sz w:val="28"/>
          <w:szCs w:val="28"/>
        </w:rPr>
        <w:pBdr>
          <w:bottom w:val="single" w:color="000000" w:sz="12" w:space="1"/>
        </w:pBdr>
        <w:outlineLvl w:val="1"/>
      </w:pPr>
      <w:r>
        <w:rPr>
          <w:sz w:val="28"/>
          <w:szCs w:val="28"/>
        </w:rPr>
        <w:t xml:space="preserve">Поставк</w:t>
      </w:r>
      <w:r>
        <w:rPr>
          <w:b w:val="0"/>
          <w:bCs w:val="0"/>
          <w:sz w:val="28"/>
          <w:szCs w:val="28"/>
        </w:rPr>
        <w:t xml:space="preserve">а </w:t>
      </w:r>
      <w:r>
        <w:rPr>
          <w:b w:val="0"/>
          <w:bCs w:val="0"/>
          <w:sz w:val="28"/>
          <w:szCs w:val="28"/>
        </w:rPr>
        <w:t xml:space="preserve">поставку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</w:rPr>
        <w:t xml:space="preserve">базовых носителей регистрационных, идентификационных и информационных данных, размещаемых на подстанциях и линиях электропередачи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(ПЭ)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 </w:t>
      </w:r>
      <w:r>
        <w:rPr>
          <w:b w:val="0"/>
          <w:bCs w:val="0"/>
          <w:sz w:val="28"/>
          <w:szCs w:val="28"/>
        </w:rPr>
      </w:r>
      <w:r>
        <w:rPr>
          <w:b w:val="0"/>
          <w:bCs w:val="0"/>
          <w:sz w:val="28"/>
          <w:szCs w:val="28"/>
        </w:rPr>
      </w:r>
    </w:p>
    <w:p>
      <w:pPr>
        <w:ind w:firstLine="851"/>
        <w:jc w:val="center"/>
        <w:spacing w:line="343" w:lineRule="atLeast"/>
        <w:shd w:val="clear" w:color="auto" w:fill="ffffff"/>
        <w:rPr>
          <w:sz w:val="28"/>
          <w:szCs w:val="28"/>
        </w:rPr>
        <w:outlineLvl w:val="1"/>
      </w:pPr>
      <w:r>
        <w:rPr>
          <w:sz w:val="28"/>
          <w:szCs w:val="28"/>
        </w:rPr>
        <w:t xml:space="preserve">(указывается предмет закупки)</w:t>
      </w:r>
      <w:bookmarkStart w:id="4" w:name="l152"/>
      <w:r/>
      <w:bookmarkEnd w:id="4"/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firstLine="851"/>
        <w:jc w:val="center"/>
        <w:spacing w:line="343" w:lineRule="atLeast"/>
        <w:shd w:val="clear" w:color="auto" w:fill="ffffff"/>
        <w:rPr>
          <w:sz w:val="28"/>
          <w:szCs w:val="28"/>
        </w:rPr>
        <w:outlineLvl w:val="1"/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tbl>
      <w:tblPr>
        <w:tblW w:w="5000" w:type="pct"/>
        <w:jc w:val="center"/>
        <w:tblBorders>
          <w:top w:val="single" w:color="DADADA" w:sz="6" w:space="0"/>
          <w:left w:val="single" w:color="DADADA" w:sz="6" w:space="0"/>
          <w:bottom w:val="single" w:color="DADADA" w:sz="6" w:space="0"/>
          <w:right w:val="single" w:color="DADADA" w:sz="6" w:space="0"/>
        </w:tblBorders>
        <w:tblCellMar>
          <w:left w:w="15" w:type="dxa"/>
          <w:top w:w="15" w:type="dxa"/>
          <w:right w:w="15" w:type="dxa"/>
          <w:bottom w:w="15" w:type="dxa"/>
        </w:tblCellMar>
        <w:tblLook w:val="04A0" w:firstRow="1" w:lastRow="0" w:firstColumn="1" w:lastColumn="0" w:noHBand="0" w:noVBand="1"/>
      </w:tblPr>
      <w:tblGrid>
        <w:gridCol w:w="5094"/>
        <w:gridCol w:w="5095"/>
      </w:tblGrid>
      <w:tr>
        <w:tblPrEx/>
        <w:trPr>
          <w:jc w:val="center"/>
        </w:trPr>
        <w:tc>
          <w:tcPr>
            <w:tcBorders>
              <w:top w:val="single" w:color="DADADA" w:sz="6" w:space="0"/>
              <w:left w:val="single" w:color="DADADA" w:sz="6" w:space="0"/>
              <w:bottom w:val="single" w:color="DADADA" w:sz="6" w:space="0"/>
              <w:right w:val="single" w:color="DADADA" w:sz="6" w:space="0"/>
            </w:tcBorders>
            <w:tcMar>
              <w:left w:w="120" w:type="dxa"/>
              <w:top w:w="60" w:type="dxa"/>
              <w:right w:w="120" w:type="dxa"/>
              <w:bottom w:w="60" w:type="dxa"/>
            </w:tcMar>
            <w:tcW w:w="2500" w:type="pct"/>
            <w:textDirection w:val="lrTb"/>
            <w:noWrap w:val="false"/>
          </w:tcPr>
          <w:p>
            <w:pPr>
              <w:spacing w:after="300"/>
              <w:rPr>
                <w:sz w:val="28"/>
                <w:szCs w:val="28"/>
              </w:rPr>
            </w:pPr>
            <w:r/>
            <w:bookmarkStart w:id="5" w:name="l55"/>
            <w:r/>
            <w:bookmarkEnd w:id="5"/>
            <w:r>
              <w:rPr>
                <w:sz w:val="28"/>
                <w:szCs w:val="28"/>
              </w:rPr>
              <w:t xml:space="preserve">Начальная (максимальная) цена договора 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DADADA" w:sz="6" w:space="0"/>
              <w:left w:val="single" w:color="DADADA" w:sz="6" w:space="0"/>
              <w:bottom w:val="single" w:color="DADADA" w:sz="6" w:space="0"/>
              <w:right w:val="single" w:color="DADADA" w:sz="6" w:space="0"/>
            </w:tcBorders>
            <w:tcMar>
              <w:left w:w="120" w:type="dxa"/>
              <w:top w:w="60" w:type="dxa"/>
              <w:right w:w="120" w:type="dxa"/>
              <w:bottom w:w="60" w:type="dxa"/>
            </w:tcMar>
            <w:tcW w:w="2500" w:type="pct"/>
            <w:textDirection w:val="lrTb"/>
            <w:noWrap w:val="false"/>
          </w:tcPr>
          <w:p>
            <w:pPr>
              <w:jc w:val="left"/>
              <w:rPr>
                <w:sz w:val="20"/>
                <w:szCs w:val="20"/>
              </w:rPr>
            </w:pPr>
            <w:r>
              <w:rPr>
                <w:sz w:val="28"/>
                <w:szCs w:val="28"/>
              </w:rPr>
              <w:t xml:space="preserve">140 078,57 </w:t>
            </w:r>
            <w:r>
              <w:rPr>
                <w:sz w:val="28"/>
                <w:szCs w:val="28"/>
              </w:rPr>
              <w:t xml:space="preserve">руб. с НДС</w:t>
            </w: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</w:r>
          </w:p>
        </w:tc>
      </w:tr>
      <w:tr>
        <w:tblPrEx/>
        <w:trPr>
          <w:jc w:val="center"/>
        </w:trPr>
        <w:tc>
          <w:tcPr>
            <w:tcBorders>
              <w:top w:val="single" w:color="DADADA" w:sz="6" w:space="0"/>
              <w:left w:val="single" w:color="DADADA" w:sz="6" w:space="0"/>
              <w:bottom w:val="single" w:color="DADADA" w:sz="6" w:space="0"/>
              <w:right w:val="single" w:color="DADADA" w:sz="6" w:space="0"/>
            </w:tcBorders>
            <w:tcMar>
              <w:left w:w="120" w:type="dxa"/>
              <w:top w:w="60" w:type="dxa"/>
              <w:right w:w="120" w:type="dxa"/>
              <w:bottom w:w="60" w:type="dxa"/>
            </w:tcMar>
            <w:tcW w:w="2500" w:type="pct"/>
            <w:textDirection w:val="lrTb"/>
            <w:noWrap w:val="false"/>
          </w:tcPr>
          <w:p>
            <w:pPr>
              <w:spacing w:after="30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Используемый метод определения начальной (максимальной) цены договора  с обоснованием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DADADA" w:sz="6" w:space="0"/>
              <w:left w:val="single" w:color="DADADA" w:sz="6" w:space="0"/>
              <w:bottom w:val="single" w:color="DADADA" w:sz="6" w:space="0"/>
              <w:right w:val="single" w:color="DADADA" w:sz="6" w:space="0"/>
            </w:tcBorders>
            <w:tcMar>
              <w:left w:w="120" w:type="dxa"/>
              <w:top w:w="60" w:type="dxa"/>
              <w:right w:w="120" w:type="dxa"/>
              <w:bottom w:w="60" w:type="dxa"/>
            </w:tcMar>
            <w:tcW w:w="2500" w:type="pct"/>
            <w:textDirection w:val="lrTb"/>
            <w:noWrap w:val="false"/>
          </w:tcPr>
          <w:p>
            <w:pPr>
              <w:pStyle w:val="107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Нормативный метод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</w:tr>
      <w:tr>
        <w:tblPrEx/>
        <w:trPr>
          <w:jc w:val="center"/>
        </w:trPr>
        <w:tc>
          <w:tcPr>
            <w:tcBorders>
              <w:top w:val="single" w:color="DADADA" w:sz="6" w:space="0"/>
              <w:left w:val="single" w:color="DADADA" w:sz="6" w:space="0"/>
              <w:bottom w:val="single" w:color="DADADA" w:sz="6" w:space="0"/>
              <w:right w:val="single" w:color="DADADA" w:sz="6" w:space="0"/>
            </w:tcBorders>
            <w:tcMar>
              <w:left w:w="120" w:type="dxa"/>
              <w:top w:w="60" w:type="dxa"/>
              <w:right w:w="120" w:type="dxa"/>
              <w:bottom w:w="60" w:type="dxa"/>
            </w:tcMar>
            <w:tcW w:w="2500" w:type="pct"/>
            <w:textDirection w:val="lrTb"/>
            <w:noWrap w:val="false"/>
          </w:tcPr>
          <w:p>
            <w:pPr>
              <w:widowControl w:val="off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Организационно-распорядительный документ Заказчика, требования которого применялись при формировании начальной (максимальной) цены договора (при наличии)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  <w:p>
            <w:pPr>
              <w:spacing w:after="30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DADADA" w:sz="6" w:space="0"/>
              <w:left w:val="single" w:color="DADADA" w:sz="6" w:space="0"/>
              <w:bottom w:val="single" w:color="DADADA" w:sz="6" w:space="0"/>
              <w:right w:val="single" w:color="DADADA" w:sz="6" w:space="0"/>
            </w:tcBorders>
            <w:tcMar>
              <w:left w:w="120" w:type="dxa"/>
              <w:top w:w="60" w:type="dxa"/>
              <w:right w:w="120" w:type="dxa"/>
              <w:bottom w:w="60" w:type="dxa"/>
            </w:tcMar>
            <w:tcW w:w="2500" w:type="pct"/>
            <w:textDirection w:val="lrTb"/>
            <w:noWrap w:val="false"/>
          </w:tcPr>
          <w:p>
            <w:pPr>
              <w:spacing w:after="300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ЕСЗ (Единый Стандарт Закупок)</w:t>
            </w:r>
            <w:r>
              <w:rPr>
                <w:i/>
                <w:sz w:val="28"/>
                <w:szCs w:val="28"/>
              </w:rPr>
            </w:r>
            <w:r>
              <w:rPr>
                <w:i/>
                <w:sz w:val="28"/>
                <w:szCs w:val="28"/>
              </w:rPr>
            </w:r>
          </w:p>
        </w:tc>
      </w:tr>
      <w:tr>
        <w:tblPrEx/>
        <w:trPr>
          <w:jc w:val="center"/>
        </w:trPr>
        <w:tc>
          <w:tcPr>
            <w:tcBorders>
              <w:top w:val="single" w:color="DADADA" w:sz="6" w:space="0"/>
              <w:left w:val="single" w:color="DADADA" w:sz="6" w:space="0"/>
              <w:bottom w:val="single" w:color="DADADA" w:sz="6" w:space="0"/>
              <w:right w:val="single" w:color="DADADA" w:sz="6" w:space="0"/>
            </w:tcBorders>
            <w:tcMar>
              <w:left w:w="120" w:type="dxa"/>
              <w:top w:w="60" w:type="dxa"/>
              <w:right w:w="120" w:type="dxa"/>
              <w:bottom w:w="60" w:type="dxa"/>
            </w:tcMar>
            <w:tcW w:w="2500" w:type="pct"/>
            <w:textDirection w:val="lrTb"/>
            <w:noWrap w:val="false"/>
          </w:tcPr>
          <w:p>
            <w:pPr>
              <w:spacing w:after="30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Расчет начальной (максимальной) цены договора </w:t>
            </w:r>
            <w:r>
              <w:rPr>
                <w:sz w:val="28"/>
                <w:szCs w:val="28"/>
              </w:rPr>
            </w:r>
            <w:r>
              <w:rPr>
                <w:sz w:val="28"/>
                <w:szCs w:val="28"/>
              </w:rPr>
            </w:r>
          </w:p>
        </w:tc>
        <w:tc>
          <w:tcPr>
            <w:tcBorders>
              <w:top w:val="single" w:color="DADADA" w:sz="6" w:space="0"/>
              <w:left w:val="single" w:color="DADADA" w:sz="6" w:space="0"/>
              <w:bottom w:val="single" w:color="DADADA" w:sz="6" w:space="0"/>
              <w:right w:val="single" w:color="DADADA" w:sz="6" w:space="0"/>
            </w:tcBorders>
            <w:tcMar>
              <w:left w:w="120" w:type="dxa"/>
              <w:top w:w="60" w:type="dxa"/>
              <w:right w:w="120" w:type="dxa"/>
              <w:bottom w:w="60" w:type="dxa"/>
            </w:tcMar>
            <w:tcW w:w="2500" w:type="pct"/>
            <w:textDirection w:val="lrTb"/>
            <w:noWrap w:val="false"/>
          </w:tcPr>
          <w:p>
            <w:pPr>
              <w:spacing w:after="300"/>
              <w:rPr>
                <w:i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№1.1. к ТЗ – Расчет НМЦ</w:t>
            </w:r>
            <w:r>
              <w:rPr>
                <w:i/>
                <w:sz w:val="28"/>
                <w:szCs w:val="28"/>
              </w:rPr>
            </w:r>
            <w:r>
              <w:rPr>
                <w:i/>
                <w:sz w:val="28"/>
                <w:szCs w:val="28"/>
              </w:rPr>
            </w:r>
          </w:p>
        </w:tc>
      </w:tr>
    </w:tbl>
    <w:p>
      <w:pPr>
        <w:ind w:firstLine="851"/>
        <w:shd w:val="clear" w:color="auto" w:fill="ffffff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r/>
      <w:r/>
    </w:p>
    <w:p>
      <w:pPr>
        <w:pStyle w:val="1068"/>
        <w:ind w:firstLine="708"/>
        <w:jc w:val="both"/>
        <w:widowControl w:val="off"/>
        <w:rPr>
          <w:sz w:val="24"/>
        </w:rPr>
      </w:pPr>
      <w:r>
        <w:rPr>
          <w:sz w:val="24"/>
        </w:rPr>
      </w:r>
      <w:r>
        <w:rPr>
          <w:sz w:val="24"/>
        </w:rPr>
      </w:r>
      <w:r>
        <w:rPr>
          <w:sz w:val="24"/>
        </w:rPr>
      </w:r>
    </w:p>
    <w:p>
      <w:pPr>
        <w:tabs>
          <w:tab w:val="num" w:pos="0" w:leader="none"/>
        </w:tabs>
      </w:pPr>
      <w:r/>
      <w:r/>
    </w:p>
    <w:p>
      <w:pPr>
        <w:rPr>
          <w:i/>
        </w:rPr>
      </w:pPr>
      <w:r>
        <w:rPr>
          <w:i/>
        </w:rPr>
      </w:r>
      <w:r>
        <w:rPr>
          <w:i/>
        </w:rPr>
      </w:r>
      <w:r>
        <w:rPr>
          <w:i/>
        </w:rPr>
      </w:r>
    </w:p>
    <w:p>
      <w:pPr>
        <w:rPr>
          <w:i/>
        </w:rPr>
      </w:pPr>
      <w:r>
        <w:rPr>
          <w:i/>
        </w:rPr>
      </w:r>
      <w:r>
        <w:rPr>
          <w:i/>
        </w:rPr>
      </w:r>
      <w:r>
        <w:rPr>
          <w:i/>
        </w:rPr>
      </w:r>
    </w:p>
    <w:p>
      <w:pPr>
        <w:tabs>
          <w:tab w:val="left" w:pos="993" w:leader="none"/>
        </w:tabs>
      </w:pPr>
      <w:r/>
      <w:r/>
    </w:p>
    <w:p>
      <w:r/>
      <w:r/>
    </w:p>
    <w:sectPr>
      <w:footnotePr/>
      <w:endnotePr/>
      <w:type w:val="nextPage"/>
      <w:pgSz w:w="11906" w:h="16838" w:orient="portrait"/>
      <w:pgMar w:top="851" w:right="567" w:bottom="1134" w:left="1134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ans">
    <w:panose1 w:val="020B0604020202020204"/>
  </w:font>
  <w:font w:name="Wingdings">
    <w:panose1 w:val="05000000000000000000"/>
  </w:font>
  <w:font w:name="Courier New">
    <w:panose1 w:val="02070309020205020404"/>
  </w:font>
  <w:font w:name="Symbol">
    <w:panose1 w:val="05050102010706020507"/>
  </w:font>
  <w:font w:name="SimSun">
    <w:panose1 w:val="02010600030101010101"/>
  </w:font>
  <w:font w:name="MS Mincho">
    <w:panose1 w:val="020B0609070205080204"/>
  </w:font>
  <w:font w:name="Tahoma">
    <w:panose1 w:val="020B0604030504040204"/>
  </w:font>
  <w:font w:name="Calibri">
    <w:panose1 w:val="020F0502020204030204"/>
  </w:font>
  <w:font w:name="Consolas">
    <w:panose1 w:val="020B0609020204030204"/>
  </w:font>
  <w:font w:name="Times New Roman">
    <w:panose1 w:val="02020603050405020304"/>
  </w:font>
  <w:font w:name="Arial">
    <w:panose1 w:val="020B060402020202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08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 xml:space="preserve">6</w:t>
    </w:r>
    <w:r>
      <w:fldChar w:fldCharType="end"/>
    </w:r>
    <w:r/>
  </w:p>
  <w:p>
    <w:pPr>
      <w:pStyle w:val="1084"/>
    </w:pPr>
    <w:r/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084"/>
      <w:rPr>
        <w:rStyle w:val="1086"/>
      </w:rPr>
      <w:framePr w:wrap="around" w:vAnchor="text" w:hAnchor="margin" w:xAlign="center" w:y="1"/>
    </w:pPr>
    <w:r>
      <w:rPr>
        <w:rStyle w:val="1086"/>
      </w:rPr>
      <w:fldChar w:fldCharType="begin"/>
    </w:r>
    <w:r>
      <w:rPr>
        <w:rStyle w:val="1086"/>
      </w:rPr>
      <w:instrText xml:space="preserve">PAGE  </w:instrText>
    </w:r>
    <w:r>
      <w:rPr>
        <w:rStyle w:val="1086"/>
      </w:rPr>
      <w:fldChar w:fldCharType="end"/>
    </w:r>
    <w:r>
      <w:rPr>
        <w:rStyle w:val="1086"/>
      </w:rPr>
    </w:r>
    <w:r>
      <w:rPr>
        <w:rStyle w:val="1086"/>
      </w:rPr>
    </w:r>
  </w:p>
  <w:p>
    <w:pPr>
      <w:pStyle w:val="1084"/>
    </w:pPr>
    <w:r/>
    <w:r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  <w:footnote w:id="2">
    <w:p>
      <w:pPr>
        <w:jc w:val="both"/>
        <w:rPr>
          <w:color w:val="000000"/>
          <w:sz w:val="30"/>
          <w:szCs w:val="30"/>
        </w:rPr>
      </w:pPr>
      <w:r>
        <w:rPr>
          <w:rStyle w:val="1093"/>
        </w:rPr>
        <w:footnoteRef/>
      </w:r>
      <w:r>
        <w:t xml:space="preserve"> </w:t>
      </w:r>
      <w:r>
        <w:rPr>
          <w:color w:val="000000"/>
          <w:sz w:val="20"/>
          <w:szCs w:val="20"/>
        </w:rPr>
        <w:t xml:space="preserve">Срок </w:t>
      </w:r>
      <w:r>
        <w:rPr>
          <w:color w:val="000000"/>
          <w:sz w:val="20"/>
          <w:szCs w:val="20"/>
        </w:rPr>
        <w:t xml:space="preserve">поставки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полностью соответствует указанному в Приложении</w:t>
      </w:r>
      <w:r>
        <w:rPr>
          <w:color w:val="000000"/>
          <w:sz w:val="20"/>
          <w:szCs w:val="20"/>
        </w:rPr>
        <w:t xml:space="preserve"> №</w:t>
      </w:r>
      <w:r>
        <w:rPr>
          <w:color w:val="000000"/>
          <w:sz w:val="20"/>
          <w:szCs w:val="20"/>
        </w:rPr>
        <w:t xml:space="preserve">4</w:t>
      </w:r>
      <w:r>
        <w:rPr>
          <w:color w:val="000000"/>
          <w:sz w:val="20"/>
          <w:szCs w:val="20"/>
        </w:rPr>
        <w:t xml:space="preserve"> к </w:t>
      </w:r>
      <w:r>
        <w:rPr>
          <w:color w:val="000000"/>
          <w:sz w:val="20"/>
          <w:szCs w:val="20"/>
        </w:rPr>
        <w:t xml:space="preserve">Техническому заданию</w:t>
      </w:r>
      <w:r>
        <w:rPr>
          <w:color w:val="000000"/>
          <w:sz w:val="20"/>
          <w:szCs w:val="20"/>
        </w:rPr>
        <w:t xml:space="preserve">, в том числе в части указания промежуточны</w:t>
      </w:r>
      <w:r>
        <w:rPr>
          <w:color w:val="000000"/>
          <w:sz w:val="20"/>
          <w:szCs w:val="20"/>
        </w:rPr>
        <w:t xml:space="preserve">х сроков поставок</w:t>
      </w:r>
      <w:r>
        <w:rPr>
          <w:color w:val="000000"/>
          <w:sz w:val="30"/>
          <w:szCs w:val="30"/>
        </w:rPr>
      </w:r>
      <w:r>
        <w:rPr>
          <w:color w:val="000000"/>
          <w:sz w:val="30"/>
          <w:szCs w:val="30"/>
        </w:rPr>
      </w:r>
    </w:p>
  </w:footnote>
  <w:footnote w:id="3">
    <w:p>
      <w:pPr>
        <w:pStyle w:val="1091"/>
        <w:jc w:val="both"/>
        <w:rPr>
          <w:sz w:val="18"/>
          <w:szCs w:val="18"/>
        </w:rPr>
      </w:pPr>
      <w:r>
        <w:rPr>
          <w:rStyle w:val="1093"/>
        </w:rPr>
        <w:footnoteRef/>
      </w:r>
      <w:r>
        <w:t xml:space="preserve"> </w:t>
      </w:r>
      <w:r>
        <w:rPr>
          <w:bCs/>
          <w:spacing w:val="-4"/>
        </w:rPr>
        <w:t xml:space="preserve">Проверка качества оборудования, материалов и систем проводится в соответствии</w:t>
      </w:r>
      <w:r>
        <w:rPr>
          <w:bCs/>
        </w:rPr>
        <w:t xml:space="preserve"> с Методикой и Порядком проведения аттестации в ПАО «</w:t>
      </w:r>
      <w:r>
        <w:rPr>
          <w:bCs/>
        </w:rPr>
        <w:t xml:space="preserve">Россети</w:t>
      </w:r>
      <w:r>
        <w:rPr>
          <w:bCs/>
        </w:rPr>
        <w:t xml:space="preserve">» (протокол заседания Правления ОАО «</w:t>
      </w:r>
      <w:r>
        <w:rPr>
          <w:bCs/>
        </w:rPr>
        <w:t xml:space="preserve">Россети</w:t>
      </w:r>
      <w:r>
        <w:rPr>
          <w:bCs/>
        </w:rPr>
        <w:t xml:space="preserve">» от 31.03.2014 № 225пр) (адрес в сети Интернет: </w:t>
      </w:r>
      <w:hyperlink r:id="rId1" w:tooltip="https://www.rosseti.ru/suppliers/technical-policy/equipment-quality-control/" w:history="1">
        <w:r>
          <w:rPr>
            <w:rStyle w:val="1081"/>
          </w:rPr>
          <w:t xml:space="preserve">https://www.rosseti.ru/suppliers/technical-policy/equipment-quality-control/</w:t>
        </w:r>
      </w:hyperlink>
      <w:r>
        <w:rPr>
          <w:bCs/>
        </w:rPr>
        <w:t xml:space="preserve">)</w:t>
      </w:r>
      <w:r>
        <w:t xml:space="preserve">. </w:t>
      </w:r>
      <w:r>
        <w:rPr>
          <w:bCs/>
        </w:rPr>
        <w:t xml:space="preserve">Перечень допущенного оборудования / продукции формируется из оборудования, прошедшего проверку качества в ПАО «</w:t>
      </w:r>
      <w:r>
        <w:rPr>
          <w:bCs/>
        </w:rPr>
        <w:t xml:space="preserve">Россети</w:t>
      </w:r>
      <w:r>
        <w:rPr>
          <w:bCs/>
        </w:rPr>
        <w:t xml:space="preserve">», и размещается на официальном сайте ПАО «</w:t>
      </w:r>
      <w:r>
        <w:rPr>
          <w:bCs/>
        </w:rPr>
        <w:t xml:space="preserve">Россети</w:t>
      </w:r>
      <w:r>
        <w:rPr>
          <w:bCs/>
        </w:rPr>
        <w:t xml:space="preserve">» в разделе </w:t>
      </w:r>
      <w:r>
        <w:rPr>
          <w:bCs/>
        </w:rPr>
        <w:t xml:space="preserve">Поставщикам </w:t>
      </w:r>
      <w:r>
        <w:rPr>
          <w:bCs/>
        </w:rPr>
        <w:t xml:space="preserve">→</w:t>
      </w:r>
      <w:r>
        <w:rPr>
          <w:bCs/>
        </w:rPr>
        <w:t xml:space="preserve"> Единая техническая политика </w:t>
      </w:r>
      <w:r>
        <w:rPr>
          <w:bCs/>
        </w:rPr>
        <w:t xml:space="preserve">→</w:t>
      </w:r>
      <w:r>
        <w:rPr>
          <w:bCs/>
        </w:rPr>
        <w:t xml:space="preserve"> Проверка качества оборудования</w:t>
      </w:r>
      <w:r>
        <w:rPr>
          <w:bCs/>
        </w:rPr>
        <w:t xml:space="preserve"> </w:t>
      </w:r>
      <w:r>
        <w:rPr>
          <w:bCs/>
        </w:rPr>
        <w:t xml:space="preserve">(адрес в сети Интернет: </w:t>
      </w:r>
      <w:hyperlink r:id="rId2" w:tooltip="https://www.rosseti.ru/suppliers/technical-policy/equipment-quality-control/" w:history="1">
        <w:r>
          <w:rPr>
            <w:rStyle w:val="1081"/>
          </w:rPr>
          <w:t xml:space="preserve">https://www.rosseti.ru/suppliers/technical-policy/equipment-quality-control/</w:t>
        </w:r>
      </w:hyperlink>
      <w:r>
        <w:rPr>
          <w:bCs/>
        </w:rPr>
        <w:t xml:space="preserve">)</w:t>
      </w:r>
      <w:r>
        <w:t xml:space="preserve">.</w:t>
      </w:r>
      <w:r>
        <w:rPr>
          <w:sz w:val="18"/>
          <w:szCs w:val="18"/>
        </w:rPr>
      </w:r>
      <w:r>
        <w:rPr>
          <w:sz w:val="18"/>
          <w:szCs w:val="18"/>
        </w:rPr>
      </w:r>
    </w:p>
    <w:p>
      <w:pPr>
        <w:pStyle w:val="1091"/>
        <w:jc w:val="both"/>
        <w:rPr>
          <w:sz w:val="18"/>
          <w:szCs w:val="18"/>
        </w:rPr>
      </w:pPr>
      <w:r>
        <w:rPr>
          <w:sz w:val="18"/>
          <w:szCs w:val="18"/>
        </w:rPr>
      </w:r>
      <w:r>
        <w:rPr>
          <w:sz w:val="18"/>
          <w:szCs w:val="18"/>
        </w:rPr>
      </w:r>
      <w:r>
        <w:rPr>
          <w:sz w:val="18"/>
          <w:szCs w:val="18"/>
        </w:rPr>
      </w:r>
    </w:p>
    <w:p>
      <w:pPr>
        <w:pStyle w:val="1091"/>
        <w:rPr>
          <w:sz w:val="18"/>
          <w:szCs w:val="18"/>
        </w:rPr>
      </w:pPr>
      <w:r>
        <w:rPr>
          <w:sz w:val="18"/>
          <w:szCs w:val="18"/>
        </w:rPr>
      </w:r>
      <w:r>
        <w:rPr>
          <w:sz w:val="18"/>
          <w:szCs w:val="18"/>
        </w:rPr>
      </w:r>
      <w:r>
        <w:rPr>
          <w:sz w:val="18"/>
          <w:szCs w:val="18"/>
        </w:rPr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40" w:hanging="540"/>
      </w:pPr>
      <w:rPr>
        <w:rFonts w:hint="default"/>
      </w:rPr>
    </w:lvl>
    <w:lvl w:ilvl="1">
      <w:start w:val="9"/>
      <w:numFmt w:val="decimal"/>
      <w:isLgl w:val="false"/>
      <w:suff w:val="tab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600" w:hanging="600"/>
      </w:pPr>
      <w:rPr>
        <w:rFonts w:hint="default"/>
        <w:color w:val="000000" w:themeColor="text1"/>
      </w:rPr>
    </w:lvl>
    <w:lvl w:ilvl="1">
      <w:start w:val="106"/>
      <w:numFmt w:val="decimal"/>
      <w:isLgl w:val="false"/>
      <w:suff w:val="tab"/>
      <w:lvlText w:val="%1.%2."/>
      <w:lvlJc w:val="left"/>
      <w:pPr>
        <w:ind w:left="600" w:hanging="600"/>
      </w:pPr>
      <w:rPr>
        <w:rFonts w:hint="default"/>
        <w:color w:val="000000" w:themeColor="text1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color w:val="000000" w:themeColor="text1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  <w:color w:val="000000" w:themeColor="text1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  <w:color w:val="000000" w:themeColor="text1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  <w:color w:val="000000" w:themeColor="text1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  <w:color w:val="000000" w:themeColor="text1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  <w:color w:val="000000" w:themeColor="text1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  <w:color w:val="000000" w:themeColor="text1"/>
      </w:r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3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825" w:hanging="825"/>
      </w:pPr>
      <w:rPr>
        <w:rFonts w:hint="default"/>
      </w:rPr>
    </w:lvl>
    <w:lvl w:ilvl="1">
      <w:start w:val="10"/>
      <w:numFmt w:val="decimal"/>
      <w:isLgl w:val="false"/>
      <w:suff w:val="tab"/>
      <w:lvlText w:val="%1.%2."/>
      <w:lvlJc w:val="left"/>
      <w:pPr>
        <w:ind w:left="825" w:hanging="825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825" w:hanging="825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2062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6">
    <w:multiLevelType w:val="hybridMultilevel"/>
    <w:lvl w:ilvl="0">
      <w:start w:val="8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multiLevelType w:val="hybridMultilevel"/>
    <w:lvl w:ilvl="0">
      <w:start w:val="9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9" w:hanging="180"/>
      </w:pPr>
    </w:lvl>
  </w:abstractNum>
  <w:abstractNum w:abstractNumId="8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9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1429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2149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869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3589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4309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5029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749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6469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7189" w:hanging="360"/>
      </w:pPr>
      <w:rPr>
        <w:rFonts w:hint="default" w:ascii="Wingdings" w:hAnsi="Wingdings"/>
      </w:rPr>
    </w:lvl>
  </w:abstractNum>
  <w:abstractNum w:abstractNumId="1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40" w:hanging="540"/>
      </w:pPr>
      <w:rPr>
        <w:rFonts w:hint="default"/>
      </w:rPr>
    </w:lvl>
    <w:lvl w:ilvl="1">
      <w:start w:val="9"/>
      <w:numFmt w:val="decimal"/>
      <w:isLgl w:val="false"/>
      <w:suff w:val="tab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80" w:hanging="480"/>
      </w:pPr>
      <w:rPr>
        <w:rFonts w:hint="default"/>
      </w:rPr>
    </w:lvl>
    <w:lvl w:ilvl="1">
      <w:start w:val="9"/>
      <w:numFmt w:val="decimal"/>
      <w:isLgl w:val="false"/>
      <w:suff w:val="tab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  <w:tabs>
          <w:tab w:val="num" w:pos="6480" w:leader="none"/>
        </w:tabs>
      </w:pPr>
    </w:lvl>
  </w:abstractNum>
  <w:abstractNum w:abstractNumId="1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20" w:hanging="360"/>
        <w:tabs>
          <w:tab w:val="num" w:pos="420" w:leader="none"/>
        </w:tabs>
      </w:pPr>
      <w:rPr>
        <w:b/>
      </w:r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15">
    <w:multiLevelType w:val="hybridMultilevel"/>
    <w:lvl w:ilvl="0">
      <w:start w:val="9"/>
      <w:numFmt w:val="decimal"/>
      <w:isLgl w:val="false"/>
      <w:suff w:val="tab"/>
      <w:lvlText w:val="%1."/>
      <w:lvlJc w:val="left"/>
      <w:pPr>
        <w:ind w:left="1428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214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6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8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30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2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4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6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88" w:hanging="180"/>
      </w:pPr>
    </w:lvl>
  </w:abstractNum>
  <w:abstractNum w:abstractNumId="16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2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3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4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5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6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7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8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</w:abstractNum>
  <w:abstractNum w:abstractNumId="1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840" w:hanging="840"/>
      </w:pPr>
      <w:rPr>
        <w:rFonts w:hint="default"/>
      </w:rPr>
    </w:lvl>
    <w:lvl w:ilvl="1">
      <w:start w:val="10"/>
      <w:numFmt w:val="decimal"/>
      <w:isLgl w:val="false"/>
      <w:suff w:val="tab"/>
      <w:lvlText w:val="%1.%2."/>
      <w:lvlJc w:val="left"/>
      <w:pPr>
        <w:ind w:left="1440" w:hanging="840"/>
      </w:pPr>
      <w:rPr>
        <w:rFonts w:hint="default"/>
      </w:rPr>
    </w:lvl>
    <w:lvl w:ilvl="2">
      <w:start w:val="6"/>
      <w:numFmt w:val="decimal"/>
      <w:isLgl w:val="false"/>
      <w:suff w:val="tab"/>
      <w:lvlText w:val="%1.%2.%3."/>
      <w:lvlJc w:val="left"/>
      <w:pPr>
        <w:ind w:left="2040" w:hanging="840"/>
      </w:pPr>
      <w:rPr>
        <w:rFonts w:hint="default"/>
      </w:rPr>
    </w:lvl>
    <w:lvl w:ilvl="3">
      <w:start w:val="2"/>
      <w:numFmt w:val="decimal"/>
      <w:isLgl w:val="false"/>
      <w:suff w:val="tab"/>
      <w:lvlText w:val="%1.%2.%3.%4."/>
      <w:lvlJc w:val="left"/>
      <w:pPr>
        <w:ind w:left="2640" w:hanging="84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4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56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6600" w:hanging="1800"/>
      </w:pPr>
      <w:rPr>
        <w:rFonts w:hint="default"/>
      </w:rPr>
    </w:lvl>
  </w:abstractNum>
  <w:abstractNum w:abstractNumId="18">
    <w:multiLevelType w:val="hybridMultilevel"/>
    <w:lvl w:ilvl="0">
      <w:start w:val="1"/>
      <w:numFmt w:val="russianLower"/>
      <w:isLgl w:val="false"/>
      <w:suff w:val="tab"/>
      <w:lvlText w:val="%1)"/>
      <w:lvlJc w:val="left"/>
      <w:pPr>
        <w:ind w:left="1296" w:hanging="360"/>
      </w:pPr>
      <w:rPr>
        <w:rFonts w:hint="default" w:cs="Times New Roman"/>
      </w:rPr>
    </w:lvl>
    <w:lvl w:ilvl="1">
      <w:start w:val="1"/>
      <w:numFmt w:val="lowerLetter"/>
      <w:isLgl w:val="false"/>
      <w:suff w:val="tab"/>
      <w:lvlText w:val="%2)"/>
      <w:lvlJc w:val="left"/>
      <w:pPr>
        <w:ind w:left="2361" w:hanging="705"/>
      </w:pPr>
      <w:rPr>
        <w:rFonts w:hint="default"/>
      </w:rPr>
    </w:lvl>
    <w:lvl w:ilvl="2">
      <w:start w:val="1"/>
      <w:numFmt w:val="lowerRoman"/>
      <w:isLgl w:val="false"/>
      <w:suff w:val="tab"/>
      <w:lvlText w:val="%3."/>
      <w:lvlJc w:val="right"/>
      <w:pPr>
        <w:ind w:left="2736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456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176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896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616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336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056" w:hanging="180"/>
      </w:pPr>
    </w:lvl>
  </w:abstractNum>
  <w:abstractNum w:abstractNumId="19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540" w:hanging="540"/>
      </w:pPr>
      <w:rPr>
        <w:rFonts w:hint="default"/>
        <w:b/>
      </w:rPr>
    </w:lvl>
    <w:lvl w:ilvl="1">
      <w:start w:val="8"/>
      <w:numFmt w:val="decimal"/>
      <w:isLgl w:val="false"/>
      <w:suff w:val="tab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8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0">
    <w:multiLevelType w:val="hybridMultilevel"/>
    <w:lvl w:ilvl="0">
      <w:start w:val="4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2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3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4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5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6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7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  <w:lvl w:ilvl="8">
      <w:start w:val="1"/>
      <w:numFmt w:val="none"/>
      <w:isLgl w:val="false"/>
      <w:suff w:val="tab"/>
      <w:lvlText w:val=""/>
      <w:lvlJc w:val="left"/>
      <w:pPr>
        <w:tabs>
          <w:tab w:val="num" w:pos="360" w:leader="none"/>
        </w:tabs>
      </w:pPr>
    </w:lvl>
  </w:abstractNum>
  <w:abstractNum w:abstractNumId="21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abstractNum w:abstractNumId="22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08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180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52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24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396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468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40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120" w:hanging="180"/>
      </w:pPr>
    </w:lvl>
  </w:abstractNum>
  <w:abstractNum w:abstractNumId="2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8" w:hanging="360"/>
      </w:pPr>
      <w:rPr>
        <w:rFonts w:hint="default"/>
        <w:i w:val="0"/>
      </w:rPr>
    </w:lvl>
    <w:lvl w:ilvl="1">
      <w:start w:val="1"/>
      <w:numFmt w:val="lowerLetter"/>
      <w:isLgl w:val="false"/>
      <w:suff w:val="tab"/>
      <w:lvlText w:val="%2."/>
      <w:lvlJc w:val="left"/>
      <w:pPr>
        <w:ind w:left="1788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08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28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48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68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388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08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28" w:hanging="180"/>
      </w:pPr>
    </w:lvl>
  </w:abstractNum>
  <w:abstractNum w:abstractNumId="24">
    <w:multiLevelType w:val="hybridMultilevel"/>
    <w:lvl w:ilvl="0">
      <w:start w:val="7"/>
      <w:numFmt w:val="decimal"/>
      <w:isLgl w:val="false"/>
      <w:suff w:val="tab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80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52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24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96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68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40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12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840" w:hanging="180"/>
      </w:pPr>
    </w:lvl>
  </w:abstractNum>
  <w:abstractNum w:abstractNumId="25">
    <w:multiLevelType w:val="hybridMultilevel"/>
    <w:lvl w:ilvl="0">
      <w:start w:val="3"/>
      <w:numFmt w:val="decimal"/>
      <w:isLgl w:val="false"/>
      <w:suff w:val="tab"/>
      <w:lvlText w:val="%1."/>
      <w:lvlJc w:val="left"/>
      <w:pPr>
        <w:ind w:left="540" w:hanging="540"/>
      </w:pPr>
      <w:rPr>
        <w:rFonts w:hint="default"/>
        <w:color w:val="000000"/>
      </w:rPr>
    </w:lvl>
    <w:lvl w:ilvl="1">
      <w:start w:val="8"/>
      <w:numFmt w:val="decimal"/>
      <w:isLgl w:val="false"/>
      <w:suff w:val="tab"/>
      <w:lvlText w:val="%1.%2."/>
      <w:lvlJc w:val="left"/>
      <w:pPr>
        <w:ind w:left="824" w:hanging="540"/>
      </w:pPr>
      <w:rPr>
        <w:rFonts w:hint="default"/>
        <w:color w:val="000000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782" w:hanging="720"/>
      </w:pPr>
      <w:rPr>
        <w:rFonts w:hint="default"/>
        <w:color w:val="000000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2496" w:hanging="1080"/>
      </w:pPr>
      <w:rPr>
        <w:rFonts w:hint="default"/>
        <w:color w:val="000000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2850" w:hanging="1080"/>
      </w:pPr>
      <w:rPr>
        <w:rFonts w:hint="default"/>
        <w:color w:val="000000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3564" w:hanging="1440"/>
      </w:pPr>
      <w:rPr>
        <w:rFonts w:hint="default"/>
        <w:color w:val="000000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3918" w:hanging="1440"/>
      </w:pPr>
      <w:rPr>
        <w:rFonts w:hint="default"/>
        <w:color w:val="000000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4632" w:hanging="1800"/>
      </w:pPr>
      <w:rPr>
        <w:rFonts w:hint="default"/>
        <w:color w:val="000000"/>
      </w:rPr>
    </w:lvl>
  </w:abstractNum>
  <w:abstractNum w:abstractNumId="2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69" w:hanging="360"/>
      </w:pPr>
      <w:rPr>
        <w:rFonts w:hint="default"/>
      </w:rPr>
    </w:lvl>
    <w:lvl w:ilvl="1">
      <w:start w:val="9"/>
      <w:numFmt w:val="decimal"/>
      <w:isLgl/>
      <w:suff w:val="tab"/>
      <w:lvlText w:val="%1.%2."/>
      <w:lvlJc w:val="left"/>
      <w:pPr>
        <w:ind w:left="1249" w:hanging="540"/>
      </w:pPr>
      <w:rPr>
        <w:rFonts w:hint="default"/>
        <w:b w:val="0"/>
      </w:rPr>
    </w:lvl>
    <w:lvl w:ilvl="2">
      <w:start w:val="2"/>
      <w:numFmt w:val="decimal"/>
      <w:isLgl/>
      <w:suff w:val="tab"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suff w:val="tab"/>
      <w:lvlText w:val="%1.%2.%3.%4."/>
      <w:lvlJc w:val="left"/>
      <w:pPr>
        <w:ind w:left="1429" w:hanging="720"/>
      </w:pPr>
      <w:rPr>
        <w:rFonts w:hint="default"/>
        <w:b w:val="0"/>
      </w:rPr>
    </w:lvl>
    <w:lvl w:ilvl="4">
      <w:start w:val="1"/>
      <w:numFmt w:val="decimal"/>
      <w:isLgl/>
      <w:suff w:val="tab"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suff w:val="tab"/>
      <w:lvlText w:val="%1.%2.%3.%4.%5.%6."/>
      <w:lvlJc w:val="left"/>
      <w:pPr>
        <w:ind w:left="1789" w:hanging="1080"/>
      </w:pPr>
      <w:rPr>
        <w:rFonts w:hint="default"/>
        <w:b w:val="0"/>
      </w:rPr>
    </w:lvl>
    <w:lvl w:ilvl="6">
      <w:start w:val="1"/>
      <w:numFmt w:val="decimal"/>
      <w:isLgl/>
      <w:suff w:val="tab"/>
      <w:lvlText w:val="%1.%2.%3.%4.%5.%6.%7."/>
      <w:lvlJc w:val="left"/>
      <w:pPr>
        <w:ind w:left="2149" w:hanging="1440"/>
      </w:pPr>
      <w:rPr>
        <w:rFonts w:hint="default"/>
        <w:b w:val="0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2149" w:hanging="1440"/>
      </w:pPr>
      <w:rPr>
        <w:rFonts w:hint="default"/>
        <w:b w:val="0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509" w:hanging="1800"/>
      </w:pPr>
      <w:rPr>
        <w:rFonts w:hint="default"/>
        <w:b w:val="0"/>
      </w:rPr>
    </w:lvl>
  </w:abstractNum>
  <w:abstractNum w:abstractNumId="28">
    <w:multiLevelType w:val="hybridMultilevel"/>
    <w:lvl w:ilvl="0">
      <w:start w:val="6"/>
      <w:numFmt w:val="decimal"/>
      <w:isLgl w:val="false"/>
      <w:suff w:val="tab"/>
      <w:lvlText w:val="%1."/>
      <w:lvlJc w:val="left"/>
      <w:pPr>
        <w:ind w:left="1080" w:hanging="360"/>
      </w:pPr>
      <w:rPr>
        <w:rFonts w:hint="default"/>
        <w:sz w:val="28"/>
      </w:rPr>
    </w:lvl>
    <w:lvl w:ilvl="1">
      <w:start w:val="1"/>
      <w:numFmt w:val="decimal"/>
      <w:isLgl/>
      <w:suff w:val="tab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suff w:val="tab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suff w:val="tab"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suff w:val="tab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suff w:val="tab"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suff w:val="tab"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suff w:val="tab"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003" w:hanging="435"/>
      </w:pPr>
      <w:rPr>
        <w:rFonts w:ascii="Times New Roman" w:hAnsi="Times New Roman" w:eastAsia="Calibri" w:cs="Times New Roman"/>
        <w:b w:val="0"/>
      </w:rPr>
    </w:lvl>
    <w:lvl w:ilvl="1">
      <w:start w:val="1"/>
      <w:numFmt w:val="decimal"/>
      <w:isLgl w:val="false"/>
      <w:suff w:val="tab"/>
      <w:lvlText w:val="%1.%2"/>
      <w:lvlJc w:val="left"/>
      <w:pPr>
        <w:ind w:left="1712" w:hanging="435"/>
      </w:pPr>
      <w:rPr>
        <w:rFonts w:hint="default"/>
      </w:rPr>
    </w:lvl>
    <w:lvl w:ilvl="2">
      <w:start w:val="1"/>
      <w:numFmt w:val="decimal"/>
      <w:isLgl w:val="false"/>
      <w:suff w:val="tab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3775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5553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6262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7331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8400" w:hanging="2160"/>
      </w:pPr>
      <w:rPr>
        <w:rFonts w:hint="default"/>
      </w:rPr>
    </w:lvl>
  </w:abstractNum>
  <w:abstractNum w:abstractNumId="33">
    <w:multiLevelType w:val="hybridMultilevel"/>
    <w:lvl w:ilvl="0">
      <w:start w:val="1"/>
      <w:numFmt w:val="bullet"/>
      <w:isLgl w:val="false"/>
      <w:suff w:val="tab"/>
      <w:lvlText w:val="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4">
    <w:multiLevelType w:val="hybridMultilevel"/>
    <w:lvl w:ilvl="0">
      <w:start w:val="1"/>
      <w:numFmt w:val="decimal"/>
      <w:isLgl w:val="false"/>
      <w:suff w:val="tab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isLgl w:val="false"/>
      <w:suff w:val="tab"/>
      <w:lvlText w:val="%1.%2"/>
      <w:lvlJc w:val="left"/>
      <w:pPr>
        <w:ind w:left="954" w:hanging="600"/>
      </w:pPr>
      <w:rPr>
        <w:rFonts w:hint="default"/>
      </w:rPr>
    </w:lvl>
    <w:lvl w:ilvl="2">
      <w:start w:val="1"/>
      <w:numFmt w:val="decimal"/>
      <w:isLgl w:val="false"/>
      <w:suff w:val="tab"/>
      <w:lvlText w:val="%3."/>
      <w:lvlJc w:val="left"/>
      <w:pPr>
        <w:ind w:left="1428" w:hanging="720"/>
      </w:pPr>
      <w:rPr>
        <w:rFonts w:ascii="Times New Roman" w:hAnsi="Times New Roman" w:eastAsia="Times New Roman" w:cs="Times New Roman"/>
      </w:rPr>
    </w:lvl>
    <w:lvl w:ilvl="3">
      <w:start w:val="1"/>
      <w:numFmt w:val="decimal"/>
      <w:isLgl w:val="false"/>
      <w:suff w:val="tab"/>
      <w:lvlText w:val="%1.%2.%3.%4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"/>
      <w:lvlJc w:val="left"/>
      <w:pPr>
        <w:ind w:left="4992" w:hanging="2160"/>
      </w:pPr>
      <w:rPr>
        <w:rFonts w:hint="default"/>
      </w:rPr>
    </w:lvl>
  </w:abstractNum>
  <w:abstractNum w:abstractNumId="35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isLgl w:val="false"/>
      <w:suff w:val="tab"/>
      <w:lvlText w:val="%2."/>
      <w:lvlJc w:val="left"/>
      <w:pPr>
        <w:ind w:left="2706" w:hanging="720"/>
      </w:pPr>
      <w:rPr>
        <w:rFonts w:ascii="Times New Roman" w:hAnsi="Times New Roman" w:eastAsia="Times New Roman" w:cs="Times New Roman"/>
      </w:rPr>
    </w:lvl>
    <w:lvl w:ilvl="2">
      <w:start w:val="1"/>
      <w:numFmt w:val="decimal"/>
      <w:isLgl w:val="false"/>
      <w:suff w:val="tab"/>
      <w:lvlText w:val="%1.%2.%3."/>
      <w:lvlJc w:val="left"/>
      <w:pPr>
        <w:ind w:left="4692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038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9024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137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3716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5702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48" w:hanging="2160"/>
      </w:pPr>
      <w:rPr>
        <w:rFonts w:hint="default"/>
      </w:rPr>
    </w:lvl>
  </w:abstractNum>
  <w:abstractNum w:abstractNumId="37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isLgl w:val="false"/>
      <w:suff w:val="tab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5208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6704" w:hanging="2160"/>
      </w:pPr>
      <w:rPr>
        <w:rFonts w:hint="default"/>
      </w:rPr>
    </w:lvl>
  </w:abstractNum>
  <w:abstractNum w:abstractNumId="3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isLgl w:val="false"/>
      <w:suff w:val="tab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 w:val="false"/>
      <w:suff w:val="tab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39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20" w:hanging="360"/>
      </w:pPr>
      <w:rPr>
        <w:rFonts w:hint="default" w:ascii="Times New Roman" w:hAnsi="Times New Roman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</w:pPr>
      <w:rPr>
        <w:rFonts w:hint="default"/>
      </w:rPr>
    </w:lvl>
    <w:lvl w:ilvl="1">
      <w:start w:val="10"/>
      <w:numFmt w:val="decimal"/>
      <w:isLgl/>
      <w:suff w:val="tab"/>
      <w:lvlText w:val="%1.%2."/>
      <w:lvlJc w:val="left"/>
      <w:pPr>
        <w:ind w:left="1020" w:hanging="660"/>
      </w:pPr>
      <w:rPr>
        <w:rFonts w:hint="default" w:eastAsia="Times New Roman"/>
        <w:i/>
      </w:rPr>
    </w:lvl>
    <w:lvl w:ilvl="2">
      <w:start w:val="7"/>
      <w:numFmt w:val="decimal"/>
      <w:isLgl/>
      <w:suff w:val="tab"/>
      <w:lvlText w:val="%1.%2.%3."/>
      <w:lvlJc w:val="left"/>
      <w:pPr>
        <w:ind w:left="1430" w:hanging="720"/>
      </w:pPr>
      <w:rPr>
        <w:rFonts w:hint="default" w:eastAsia="Times New Roman"/>
        <w:i w:val="0"/>
      </w:rPr>
    </w:lvl>
    <w:lvl w:ilvl="3">
      <w:start w:val="1"/>
      <w:numFmt w:val="decimal"/>
      <w:isLgl/>
      <w:suff w:val="tab"/>
      <w:lvlText w:val="%1.%2.%3.%4."/>
      <w:lvlJc w:val="left"/>
      <w:pPr>
        <w:ind w:left="1080" w:hanging="720"/>
      </w:pPr>
      <w:rPr>
        <w:rFonts w:hint="default" w:eastAsia="Times New Roman"/>
        <w:i/>
      </w:rPr>
    </w:lvl>
    <w:lvl w:ilvl="4">
      <w:start w:val="1"/>
      <w:numFmt w:val="decimal"/>
      <w:isLgl/>
      <w:suff w:val="tab"/>
      <w:lvlText w:val="%1.%2.%3.%4.%5."/>
      <w:lvlJc w:val="left"/>
      <w:pPr>
        <w:ind w:left="1440" w:hanging="1080"/>
      </w:pPr>
      <w:rPr>
        <w:rFonts w:hint="default" w:eastAsia="Times New Roman"/>
        <w:i/>
      </w:rPr>
    </w:lvl>
    <w:lvl w:ilvl="5">
      <w:start w:val="1"/>
      <w:numFmt w:val="decimal"/>
      <w:isLgl/>
      <w:suff w:val="tab"/>
      <w:lvlText w:val="%1.%2.%3.%4.%5.%6."/>
      <w:lvlJc w:val="left"/>
      <w:pPr>
        <w:ind w:left="1440" w:hanging="1080"/>
      </w:pPr>
      <w:rPr>
        <w:rFonts w:hint="default" w:eastAsia="Times New Roman"/>
        <w:i/>
      </w:rPr>
    </w:lvl>
    <w:lvl w:ilvl="6">
      <w:start w:val="1"/>
      <w:numFmt w:val="decimal"/>
      <w:isLgl/>
      <w:suff w:val="tab"/>
      <w:lvlText w:val="%1.%2.%3.%4.%5.%6.%7."/>
      <w:lvlJc w:val="left"/>
      <w:pPr>
        <w:ind w:left="1800" w:hanging="1440"/>
      </w:pPr>
      <w:rPr>
        <w:rFonts w:hint="default" w:eastAsia="Times New Roman"/>
        <w:i/>
      </w:rPr>
    </w:lvl>
    <w:lvl w:ilvl="7">
      <w:start w:val="1"/>
      <w:numFmt w:val="decimal"/>
      <w:isLgl/>
      <w:suff w:val="tab"/>
      <w:lvlText w:val="%1.%2.%3.%4.%5.%6.%7.%8."/>
      <w:lvlJc w:val="left"/>
      <w:pPr>
        <w:ind w:left="1800" w:hanging="1440"/>
      </w:pPr>
      <w:rPr>
        <w:rFonts w:hint="default" w:eastAsia="Times New Roman"/>
        <w:i/>
      </w:rPr>
    </w:lvl>
    <w:lvl w:ilvl="8">
      <w:start w:val="1"/>
      <w:numFmt w:val="decimal"/>
      <w:isLgl/>
      <w:suff w:val="tab"/>
      <w:lvlText w:val="%1.%2.%3.%4.%5.%6.%7.%8.%9."/>
      <w:lvlJc w:val="left"/>
      <w:pPr>
        <w:ind w:left="2160" w:hanging="1800"/>
      </w:pPr>
      <w:rPr>
        <w:rFonts w:hint="default" w:eastAsia="Times New Roman"/>
        <w:i/>
      </w:rPr>
    </w:lvl>
  </w:abstractNum>
  <w:abstractNum w:abstractNumId="4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80" w:hanging="480"/>
      </w:pPr>
      <w:rPr>
        <w:rFonts w:hint="default"/>
      </w:rPr>
    </w:lvl>
    <w:lvl w:ilvl="1">
      <w:start w:val="9"/>
      <w:numFmt w:val="decimal"/>
      <w:isLgl w:val="false"/>
      <w:suff w:val="tab"/>
      <w:lvlText w:val="%1.%2."/>
      <w:lvlJc w:val="left"/>
      <w:pPr>
        <w:ind w:left="480" w:hanging="480"/>
      </w:pPr>
      <w:rPr>
        <w:rFonts w:hint="default"/>
        <w:b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40" w:hanging="540"/>
      </w:pPr>
      <w:rPr>
        <w:rFonts w:hint="default"/>
      </w:rPr>
    </w:lvl>
    <w:lvl w:ilvl="1">
      <w:start w:val="9"/>
      <w:numFmt w:val="decimal"/>
      <w:isLgl w:val="false"/>
      <w:suff w:val="tab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540" w:hanging="540"/>
      </w:pPr>
      <w:rPr>
        <w:rFonts w:hint="default"/>
      </w:rPr>
    </w:lvl>
    <w:lvl w:ilvl="1">
      <w:start w:val="9"/>
      <w:numFmt w:val="decimal"/>
      <w:isLgl w:val="false"/>
      <w:suff w:val="tab"/>
      <w:lvlText w:val="%1.%2."/>
      <w:lvlJc w:val="left"/>
      <w:pPr>
        <w:ind w:left="540" w:hanging="540"/>
      </w:pPr>
      <w:rPr>
        <w:rFonts w:hint="default"/>
        <w:b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7">
    <w:multiLevelType w:val="hybridMultilevel"/>
    <w:lvl w:ilvl="0">
      <w:start w:val="1"/>
      <w:numFmt w:val="russianLower"/>
      <w:isLgl w:val="false"/>
      <w:suff w:val="tab"/>
      <w:lvlText w:val="%1)"/>
      <w:lvlJc w:val="left"/>
      <w:pPr>
        <w:ind w:left="709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1429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49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69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589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09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29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49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69" w:hanging="180"/>
      </w:pPr>
    </w:lvl>
  </w:abstractNum>
  <w:abstractNum w:abstractNumId="48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9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0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3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4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5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6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450" w:hanging="450"/>
      </w:pPr>
      <w:rPr>
        <w:rFonts w:hint="default"/>
        <w:b/>
        <w:i w:val="0"/>
      </w:rPr>
    </w:lvl>
    <w:lvl w:ilvl="1">
      <w:start w:val="1"/>
      <w:numFmt w:val="decimal"/>
      <w:isLgl w:val="false"/>
      <w:suff w:val="tab"/>
      <w:lvlText w:val="%1.%2."/>
      <w:lvlJc w:val="left"/>
      <w:pPr>
        <w:ind w:left="720" w:hanging="720"/>
      </w:pPr>
      <w:rPr>
        <w:rFonts w:hint="default"/>
        <w:b w:val="0"/>
        <w:i w:val="0"/>
        <w:color w:val="auto"/>
        <w:sz w:val="24"/>
        <w:szCs w:val="24"/>
      </w:rPr>
    </w:lvl>
    <w:lvl w:ilvl="2">
      <w:start w:val="1"/>
      <w:numFmt w:val="decimal"/>
      <w:isLgl w:val="false"/>
      <w:suff w:val="tab"/>
      <w:lvlText w:val="%1.%2.%3."/>
      <w:lvlJc w:val="left"/>
      <w:pPr>
        <w:ind w:left="720" w:hanging="720"/>
      </w:pPr>
      <w:rPr>
        <w:rFonts w:hint="default"/>
        <w:b w:val="0"/>
        <w:i w:val="0"/>
        <w:color w:val="auto"/>
      </w:rPr>
    </w:lvl>
    <w:lvl w:ilvl="3">
      <w:start w:val="1"/>
      <w:numFmt w:val="decimal"/>
      <w:isLgl w:val="false"/>
      <w:suff w:val="tab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 w:val="false"/>
      <w:suff w:val="tab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 w:val="false"/>
      <w:suff w:val="tab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 w:val="false"/>
      <w:suff w:val="tab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 w:val="false"/>
      <w:suff w:val="tab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 w:val="false"/>
      <w:suff w:val="tab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7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Liberation Sans" w:hAnsi="Liberation Sans" w:eastAsia="Liberation Sans" w:cs="Liberation Sans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58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Liberation Sans" w:hAnsi="Liberation Sans" w:eastAsia="Liberation Sans" w:cs="Liberation Sans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59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Liberation Sans" w:hAnsi="Liberation Sans" w:eastAsia="Liberation Sans" w:cs="Liberation Sans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60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Liberation Sans" w:hAnsi="Liberation Sans" w:eastAsia="Liberation Sans" w:cs="Liberation Sans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61">
    <w:multiLevelType w:val="hybridMultilevel"/>
    <w:lvl w:ilvl="0">
      <w:start w:val="1"/>
      <w:numFmt w:val="bullet"/>
      <w:isLgl w:val="false"/>
      <w:suff w:val="tab"/>
      <w:lvlText w:val="–"/>
      <w:lvlJc w:val="left"/>
      <w:pPr>
        <w:ind w:left="709" w:hanging="360"/>
      </w:pPr>
      <w:rPr>
        <w:rFonts w:hint="default" w:ascii="Liberation Sans" w:hAnsi="Liberation Sans" w:eastAsia="Liberation Sans" w:cs="Liberation Sans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num w:numId="1">
    <w:abstractNumId w:val="2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21"/>
  </w:num>
  <w:num w:numId="4">
    <w:abstractNumId w:val="8"/>
  </w:num>
  <w:num w:numId="5">
    <w:abstractNumId w:val="24"/>
  </w:num>
  <w:num w:numId="6">
    <w:abstractNumId w:val="20"/>
  </w:num>
  <w:num w:numId="7">
    <w:abstractNumId w:val="16"/>
  </w:num>
  <w:num w:numId="8">
    <w:abstractNumId w:val="28"/>
  </w:num>
  <w:num w:numId="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</w:num>
  <w:num w:numId="11">
    <w:abstractNumId w:val="25"/>
  </w:num>
  <w:num w:numId="12">
    <w:abstractNumId w:val="19"/>
  </w:num>
  <w:num w:numId="13">
    <w:abstractNumId w:val="3"/>
  </w:num>
  <w:num w:numId="14">
    <w:abstractNumId w:val="5"/>
  </w:num>
  <w:num w:numId="15">
    <w:abstractNumId w:val="15"/>
  </w:num>
  <w:num w:numId="16">
    <w:abstractNumId w:val="23"/>
  </w:num>
  <w:num w:numId="17">
    <w:abstractNumId w:val="6"/>
  </w:num>
  <w:num w:numId="18">
    <w:abstractNumId w:val="22"/>
  </w:num>
  <w:num w:numId="19">
    <w:abstractNumId w:val="7"/>
  </w:num>
  <w:num w:numId="20">
    <w:abstractNumId w:val="26"/>
  </w:num>
  <w:num w:numId="21">
    <w:abstractNumId w:val="11"/>
  </w:num>
  <w:num w:numId="22">
    <w:abstractNumId w:val="12"/>
  </w:num>
  <w:num w:numId="23">
    <w:abstractNumId w:val="27"/>
  </w:num>
  <w:num w:numId="24">
    <w:abstractNumId w:val="18"/>
  </w:num>
  <w:num w:numId="25">
    <w:abstractNumId w:val="10"/>
  </w:num>
  <w:num w:numId="2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0"/>
  </w:num>
  <w:num w:numId="28">
    <w:abstractNumId w:val="1"/>
  </w:num>
  <w:num w:numId="29">
    <w:abstractNumId w:val="4"/>
  </w:num>
  <w:num w:numId="30">
    <w:abstractNumId w:val="9"/>
  </w:num>
  <w:num w:numId="31">
    <w:abstractNumId w:val="17"/>
  </w:num>
  <w:num w:numId="32">
    <w:abstractNumId w:val="29"/>
  </w:num>
  <w:num w:numId="33">
    <w:abstractNumId w:val="30"/>
  </w:num>
  <w:num w:numId="34">
    <w:abstractNumId w:val="31"/>
  </w:num>
  <w:num w:numId="35">
    <w:abstractNumId w:val="32"/>
  </w:num>
  <w:num w:numId="36">
    <w:abstractNumId w:val="33"/>
  </w:num>
  <w:num w:numId="37">
    <w:abstractNumId w:val="34"/>
  </w:num>
  <w:num w:numId="38">
    <w:abstractNumId w:val="35"/>
  </w:num>
  <w:num w:numId="39">
    <w:abstractNumId w:val="36"/>
  </w:num>
  <w:num w:numId="40">
    <w:abstractNumId w:val="37"/>
  </w:num>
  <w:num w:numId="41">
    <w:abstractNumId w:val="38"/>
  </w:num>
  <w:num w:numId="42">
    <w:abstractNumId w:val="39"/>
  </w:num>
  <w:num w:numId="43">
    <w:abstractNumId w:val="40"/>
  </w:num>
  <w:num w:numId="44">
    <w:abstractNumId w:val="41"/>
  </w:num>
  <w:num w:numId="45">
    <w:abstractNumId w:val="42"/>
  </w:num>
  <w:num w:numId="46">
    <w:abstractNumId w:val="43"/>
  </w:num>
  <w:num w:numId="47">
    <w:abstractNumId w:val="44"/>
  </w:num>
  <w:num w:numId="48">
    <w:abstractNumId w:val="45"/>
  </w:num>
  <w:num w:numId="49">
    <w:abstractNumId w:val="46"/>
  </w:num>
  <w:num w:numId="50">
    <w:abstractNumId w:val="47"/>
  </w:num>
  <w:num w:numId="51">
    <w:abstractNumId w:val="48"/>
  </w:num>
  <w:num w:numId="52">
    <w:abstractNumId w:val="49"/>
  </w:num>
  <w:num w:numId="53">
    <w:abstractNumId w:val="50"/>
  </w:num>
  <w:num w:numId="54">
    <w:abstractNumId w:val="51"/>
  </w:num>
  <w:num w:numId="55">
    <w:abstractNumId w:val="52"/>
  </w:num>
  <w:num w:numId="56">
    <w:abstractNumId w:val="53"/>
  </w:num>
  <w:num w:numId="57">
    <w:abstractNumId w:val="54"/>
  </w:num>
  <w:num w:numId="58">
    <w:abstractNumId w:val="55"/>
  </w:num>
  <w:num w:numId="59">
    <w:abstractNumId w:val="56"/>
  </w:num>
  <w:num w:numId="60">
    <w:abstractNumId w:val="57"/>
  </w:num>
  <w:num w:numId="61">
    <w:abstractNumId w:val="58"/>
  </w:num>
  <w:num w:numId="62">
    <w:abstractNumId w:val="59"/>
  </w:num>
  <w:num w:numId="63">
    <w:abstractNumId w:val="60"/>
  </w:num>
  <w:num w:numId="64">
    <w:abstractNumId w:val="6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889">
    <w:name w:val="Heading 1 Char"/>
    <w:basedOn w:val="1061"/>
    <w:link w:val="1057"/>
    <w:uiPriority w:val="9"/>
    <w:rPr>
      <w:rFonts w:ascii="Arial" w:hAnsi="Arial" w:eastAsia="Arial" w:cs="Arial"/>
      <w:sz w:val="40"/>
      <w:szCs w:val="40"/>
    </w:rPr>
  </w:style>
  <w:style w:type="character" w:styleId="890">
    <w:name w:val="Heading 2 Char"/>
    <w:basedOn w:val="1061"/>
    <w:link w:val="1058"/>
    <w:uiPriority w:val="9"/>
    <w:rPr>
      <w:rFonts w:ascii="Arial" w:hAnsi="Arial" w:eastAsia="Arial" w:cs="Arial"/>
      <w:sz w:val="34"/>
    </w:rPr>
  </w:style>
  <w:style w:type="character" w:styleId="891">
    <w:name w:val="Heading 3 Char"/>
    <w:basedOn w:val="1061"/>
    <w:link w:val="1059"/>
    <w:uiPriority w:val="9"/>
    <w:rPr>
      <w:rFonts w:ascii="Arial" w:hAnsi="Arial" w:eastAsia="Arial" w:cs="Arial"/>
      <w:sz w:val="30"/>
      <w:szCs w:val="30"/>
    </w:rPr>
  </w:style>
  <w:style w:type="paragraph" w:styleId="892">
    <w:name w:val="Heading 4"/>
    <w:basedOn w:val="1056"/>
    <w:next w:val="1056"/>
    <w:link w:val="893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893">
    <w:name w:val="Heading 4 Char"/>
    <w:basedOn w:val="1061"/>
    <w:link w:val="892"/>
    <w:uiPriority w:val="9"/>
    <w:rPr>
      <w:rFonts w:ascii="Arial" w:hAnsi="Arial" w:eastAsia="Arial" w:cs="Arial"/>
      <w:b/>
      <w:bCs/>
      <w:sz w:val="26"/>
      <w:szCs w:val="26"/>
    </w:rPr>
  </w:style>
  <w:style w:type="character" w:styleId="894">
    <w:name w:val="Heading 5 Char"/>
    <w:basedOn w:val="1061"/>
    <w:link w:val="1060"/>
    <w:uiPriority w:val="9"/>
    <w:rPr>
      <w:rFonts w:ascii="Arial" w:hAnsi="Arial" w:eastAsia="Arial" w:cs="Arial"/>
      <w:b/>
      <w:bCs/>
      <w:sz w:val="24"/>
      <w:szCs w:val="24"/>
    </w:rPr>
  </w:style>
  <w:style w:type="paragraph" w:styleId="895">
    <w:name w:val="Heading 6"/>
    <w:basedOn w:val="1056"/>
    <w:next w:val="1056"/>
    <w:link w:val="896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896">
    <w:name w:val="Heading 6 Char"/>
    <w:basedOn w:val="1061"/>
    <w:link w:val="895"/>
    <w:uiPriority w:val="9"/>
    <w:rPr>
      <w:rFonts w:ascii="Arial" w:hAnsi="Arial" w:eastAsia="Arial" w:cs="Arial"/>
      <w:b/>
      <w:bCs/>
      <w:sz w:val="22"/>
      <w:szCs w:val="22"/>
    </w:rPr>
  </w:style>
  <w:style w:type="paragraph" w:styleId="897">
    <w:name w:val="Heading 7"/>
    <w:basedOn w:val="1056"/>
    <w:next w:val="1056"/>
    <w:link w:val="898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898">
    <w:name w:val="Heading 7 Char"/>
    <w:basedOn w:val="1061"/>
    <w:link w:val="897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899">
    <w:name w:val="Heading 8"/>
    <w:basedOn w:val="1056"/>
    <w:next w:val="1056"/>
    <w:link w:val="900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900">
    <w:name w:val="Heading 8 Char"/>
    <w:basedOn w:val="1061"/>
    <w:link w:val="899"/>
    <w:uiPriority w:val="9"/>
    <w:rPr>
      <w:rFonts w:ascii="Arial" w:hAnsi="Arial" w:eastAsia="Arial" w:cs="Arial"/>
      <w:i/>
      <w:iCs/>
      <w:sz w:val="22"/>
      <w:szCs w:val="22"/>
    </w:rPr>
  </w:style>
  <w:style w:type="paragraph" w:styleId="901">
    <w:name w:val="Heading 9"/>
    <w:basedOn w:val="1056"/>
    <w:next w:val="1056"/>
    <w:link w:val="902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902">
    <w:name w:val="Heading 9 Char"/>
    <w:basedOn w:val="1061"/>
    <w:link w:val="901"/>
    <w:uiPriority w:val="9"/>
    <w:rPr>
      <w:rFonts w:ascii="Arial" w:hAnsi="Arial" w:eastAsia="Arial" w:cs="Arial"/>
      <w:i/>
      <w:iCs/>
      <w:sz w:val="21"/>
      <w:szCs w:val="21"/>
    </w:rPr>
  </w:style>
  <w:style w:type="character" w:styleId="903">
    <w:name w:val="Title Char"/>
    <w:basedOn w:val="1061"/>
    <w:link w:val="1068"/>
    <w:uiPriority w:val="10"/>
    <w:rPr>
      <w:sz w:val="48"/>
      <w:szCs w:val="48"/>
    </w:rPr>
  </w:style>
  <w:style w:type="paragraph" w:styleId="904">
    <w:name w:val="Subtitle"/>
    <w:basedOn w:val="1056"/>
    <w:next w:val="1056"/>
    <w:link w:val="905"/>
    <w:uiPriority w:val="11"/>
    <w:qFormat/>
    <w:pPr>
      <w:spacing w:before="200" w:after="200"/>
    </w:pPr>
    <w:rPr>
      <w:sz w:val="24"/>
      <w:szCs w:val="24"/>
    </w:rPr>
  </w:style>
  <w:style w:type="character" w:styleId="905">
    <w:name w:val="Subtitle Char"/>
    <w:basedOn w:val="1061"/>
    <w:link w:val="904"/>
    <w:uiPriority w:val="11"/>
    <w:rPr>
      <w:sz w:val="24"/>
      <w:szCs w:val="24"/>
    </w:rPr>
  </w:style>
  <w:style w:type="paragraph" w:styleId="906">
    <w:name w:val="Quote"/>
    <w:basedOn w:val="1056"/>
    <w:next w:val="1056"/>
    <w:link w:val="907"/>
    <w:uiPriority w:val="29"/>
    <w:qFormat/>
    <w:pPr>
      <w:ind w:left="720" w:right="720"/>
    </w:pPr>
    <w:rPr>
      <w:i/>
    </w:rPr>
  </w:style>
  <w:style w:type="character" w:styleId="907">
    <w:name w:val="Quote Char"/>
    <w:link w:val="906"/>
    <w:uiPriority w:val="29"/>
    <w:rPr>
      <w:i/>
    </w:rPr>
  </w:style>
  <w:style w:type="paragraph" w:styleId="908">
    <w:name w:val="Intense Quote"/>
    <w:basedOn w:val="1056"/>
    <w:next w:val="1056"/>
    <w:link w:val="909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909">
    <w:name w:val="Intense Quote Char"/>
    <w:link w:val="908"/>
    <w:uiPriority w:val="30"/>
    <w:rPr>
      <w:i/>
    </w:rPr>
  </w:style>
  <w:style w:type="paragraph" w:styleId="910">
    <w:name w:val="Header"/>
    <w:basedOn w:val="1056"/>
    <w:link w:val="911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911">
    <w:name w:val="Header Char"/>
    <w:basedOn w:val="1061"/>
    <w:link w:val="910"/>
    <w:uiPriority w:val="99"/>
  </w:style>
  <w:style w:type="character" w:styleId="912">
    <w:name w:val="Footer Char"/>
    <w:basedOn w:val="1061"/>
    <w:link w:val="1084"/>
    <w:uiPriority w:val="99"/>
  </w:style>
  <w:style w:type="paragraph" w:styleId="913">
    <w:name w:val="Caption"/>
    <w:basedOn w:val="1056"/>
    <w:next w:val="1056"/>
    <w:link w:val="914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914">
    <w:name w:val="Caption Char"/>
    <w:basedOn w:val="1061"/>
    <w:link w:val="913"/>
    <w:uiPriority w:val="35"/>
    <w:rPr>
      <w:b/>
      <w:bCs/>
      <w:color w:val="4f81bd" w:themeColor="accent1"/>
      <w:sz w:val="18"/>
      <w:szCs w:val="18"/>
    </w:rPr>
  </w:style>
  <w:style w:type="table" w:styleId="915">
    <w:name w:val="Table Grid"/>
    <w:basedOn w:val="1062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916">
    <w:name w:val="Table Grid Light"/>
    <w:basedOn w:val="106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917">
    <w:name w:val="Plain Table 1"/>
    <w:basedOn w:val="1062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918">
    <w:name w:val="Plain Table 2"/>
    <w:basedOn w:val="106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919">
    <w:name w:val="Plain Table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920">
    <w:name w:val="Plain Table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1">
    <w:name w:val="Plain Table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922">
    <w:name w:val="Grid Table 1 Light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3">
    <w:name w:val="Grid Table 1 Light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4">
    <w:name w:val="Grid Table 1 Light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5">
    <w:name w:val="Grid Table 1 Light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6">
    <w:name w:val="Grid Table 1 Light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7">
    <w:name w:val="Grid Table 1 Light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8">
    <w:name w:val="Grid Table 1 Light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29">
    <w:name w:val="Grid Table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0">
    <w:name w:val="Grid Table 2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1">
    <w:name w:val="Grid Table 2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2">
    <w:name w:val="Grid Table 2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3">
    <w:name w:val="Grid Table 2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4">
    <w:name w:val="Grid Table 2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5">
    <w:name w:val="Grid Table 2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6">
    <w:name w:val="Grid Table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7">
    <w:name w:val="Grid Table 3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8">
    <w:name w:val="Grid Table 3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39">
    <w:name w:val="Grid Table 3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40">
    <w:name w:val="Grid Table 3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41">
    <w:name w:val="Grid Table 3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42">
    <w:name w:val="Grid Table 3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43">
    <w:name w:val="Grid Table 4"/>
    <w:basedOn w:val="106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944">
    <w:name w:val="Grid Table 4 - Accent 1"/>
    <w:basedOn w:val="106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945">
    <w:name w:val="Grid Table 4 - Accent 2"/>
    <w:basedOn w:val="106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946">
    <w:name w:val="Grid Table 4 - Accent 3"/>
    <w:basedOn w:val="106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947">
    <w:name w:val="Grid Table 4 - Accent 4"/>
    <w:basedOn w:val="106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948">
    <w:name w:val="Grid Table 4 - Accent 5"/>
    <w:basedOn w:val="106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949">
    <w:name w:val="Grid Table 4 - Accent 6"/>
    <w:basedOn w:val="106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950">
    <w:name w:val="Grid Table 5 Dark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951">
    <w:name w:val="Grid Table 5 Dark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952">
    <w:name w:val="Grid Table 5 Dark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953">
    <w:name w:val="Grid Table 5 Dark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954">
    <w:name w:val="Grid Table 5 Dark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955">
    <w:name w:val="Grid Table 5 Dark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956">
    <w:name w:val="Grid Table 5 Dark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957">
    <w:name w:val="Grid Table 6 Colorful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958">
    <w:name w:val="Grid Table 6 Colorful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959">
    <w:name w:val="Grid Table 6 Colorful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960">
    <w:name w:val="Grid Table 6 Colorful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961">
    <w:name w:val="Grid Table 6 Colorful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962">
    <w:name w:val="Grid Table 6 Colorful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3">
    <w:name w:val="Grid Table 6 Colorful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964">
    <w:name w:val="Grid Table 7 Colorful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65">
    <w:name w:val="Grid Table 7 Colorful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66">
    <w:name w:val="Grid Table 7 Colorful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67">
    <w:name w:val="Grid Table 7 Colorful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68">
    <w:name w:val="Grid Table 7 Colorful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69">
    <w:name w:val="Grid Table 7 Colorful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70">
    <w:name w:val="Grid Table 7 Colorful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71">
    <w:name w:val="List Table 1 Light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72">
    <w:name w:val="List Table 1 Light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73">
    <w:name w:val="List Table 1 Light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74">
    <w:name w:val="List Table 1 Light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75">
    <w:name w:val="List Table 1 Light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76">
    <w:name w:val="List Table 1 Light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77">
    <w:name w:val="List Table 1 Light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978">
    <w:name w:val="List Table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979">
    <w:name w:val="List Table 2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980">
    <w:name w:val="List Table 2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981">
    <w:name w:val="List Table 2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982">
    <w:name w:val="List Table 2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983">
    <w:name w:val="List Table 2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984">
    <w:name w:val="List Table 2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985">
    <w:name w:val="List Table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86">
    <w:name w:val="List Table 3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87">
    <w:name w:val="List Table 3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88">
    <w:name w:val="List Table 3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89">
    <w:name w:val="List Table 3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0">
    <w:name w:val="List Table 3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1">
    <w:name w:val="List Table 3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2">
    <w:name w:val="List Table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3">
    <w:name w:val="List Table 4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4">
    <w:name w:val="List Table 4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5">
    <w:name w:val="List Table 4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6">
    <w:name w:val="List Table 4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7">
    <w:name w:val="List Table 4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8">
    <w:name w:val="List Table 4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999">
    <w:name w:val="List Table 5 Dark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000">
    <w:name w:val="List Table 5 Dark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001">
    <w:name w:val="List Table 5 Dark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002">
    <w:name w:val="List Table 5 Dark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003">
    <w:name w:val="List Table 5 Dark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004">
    <w:name w:val="List Table 5 Dark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005">
    <w:name w:val="List Table 5 Dark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006">
    <w:name w:val="List Table 6 Colorful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007">
    <w:name w:val="List Table 6 Colorful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008">
    <w:name w:val="List Table 6 Colorful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009">
    <w:name w:val="List Table 6 Colorful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010">
    <w:name w:val="List Table 6 Colorful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011">
    <w:name w:val="List Table 6 Colorful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012">
    <w:name w:val="List Table 6 Colorful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013">
    <w:name w:val="List Table 7 Colorful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014">
    <w:name w:val="List Table 7 Colorful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015">
    <w:name w:val="List Table 7 Colorful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016">
    <w:name w:val="List Table 7 Colorful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017">
    <w:name w:val="List Table 7 Colorful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018">
    <w:name w:val="List Table 7 Colorful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019">
    <w:name w:val="List Table 7 Colorful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020">
    <w:name w:val="Lined - Accent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021">
    <w:name w:val="Lined - Accent 1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022">
    <w:name w:val="Lined - Accent 2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023">
    <w:name w:val="Lined - Accent 3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024">
    <w:name w:val="Lined - Accent 4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025">
    <w:name w:val="Lined - Accent 5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026">
    <w:name w:val="Lined - Accent 6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027">
    <w:name w:val="Bordered &amp; Lined - Accent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028">
    <w:name w:val="Bordered &amp; Lined - Accent 1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029">
    <w:name w:val="Bordered &amp; Lined - Accent 2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030">
    <w:name w:val="Bordered &amp; Lined - Accent 3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031">
    <w:name w:val="Bordered &amp; Lined - Accent 4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032">
    <w:name w:val="Bordered &amp; Lined - Accent 5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033">
    <w:name w:val="Bordered &amp; Lined - Accent 6"/>
    <w:basedOn w:val="106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034">
    <w:name w:val="Bordered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035">
    <w:name w:val="Bordered - Accent 1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036">
    <w:name w:val="Bordered - Accent 2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037">
    <w:name w:val="Bordered - Accent 3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038">
    <w:name w:val="Bordered - Accent 4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039">
    <w:name w:val="Bordered - Accent 5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040">
    <w:name w:val="Bordered - Accent 6"/>
    <w:basedOn w:val="106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041">
    <w:name w:val="Footnote Text Char"/>
    <w:link w:val="1091"/>
    <w:uiPriority w:val="99"/>
    <w:rPr>
      <w:sz w:val="18"/>
    </w:rPr>
  </w:style>
  <w:style w:type="paragraph" w:styleId="1042">
    <w:name w:val="endnote text"/>
    <w:basedOn w:val="1056"/>
    <w:link w:val="1043"/>
    <w:uiPriority w:val="99"/>
    <w:semiHidden/>
    <w:unhideWhenUsed/>
    <w:pPr>
      <w:spacing w:after="0" w:line="240" w:lineRule="auto"/>
    </w:pPr>
    <w:rPr>
      <w:sz w:val="20"/>
    </w:rPr>
  </w:style>
  <w:style w:type="character" w:styleId="1043">
    <w:name w:val="Endnote Text Char"/>
    <w:link w:val="1042"/>
    <w:uiPriority w:val="99"/>
    <w:rPr>
      <w:sz w:val="20"/>
    </w:rPr>
  </w:style>
  <w:style w:type="character" w:styleId="1044">
    <w:name w:val="endnote reference"/>
    <w:basedOn w:val="1061"/>
    <w:uiPriority w:val="99"/>
    <w:semiHidden/>
    <w:unhideWhenUsed/>
    <w:rPr>
      <w:vertAlign w:val="superscript"/>
    </w:rPr>
  </w:style>
  <w:style w:type="paragraph" w:styleId="1045">
    <w:name w:val="toc 1"/>
    <w:basedOn w:val="1056"/>
    <w:next w:val="1056"/>
    <w:uiPriority w:val="39"/>
    <w:unhideWhenUsed/>
    <w:pPr>
      <w:ind w:left="0" w:right="0" w:firstLine="0"/>
      <w:spacing w:after="57"/>
    </w:pPr>
  </w:style>
  <w:style w:type="paragraph" w:styleId="1046">
    <w:name w:val="toc 2"/>
    <w:basedOn w:val="1056"/>
    <w:next w:val="1056"/>
    <w:uiPriority w:val="39"/>
    <w:unhideWhenUsed/>
    <w:pPr>
      <w:ind w:left="283" w:right="0" w:firstLine="0"/>
      <w:spacing w:after="57"/>
    </w:pPr>
  </w:style>
  <w:style w:type="paragraph" w:styleId="1047">
    <w:name w:val="toc 3"/>
    <w:basedOn w:val="1056"/>
    <w:next w:val="1056"/>
    <w:uiPriority w:val="39"/>
    <w:unhideWhenUsed/>
    <w:pPr>
      <w:ind w:left="567" w:right="0" w:firstLine="0"/>
      <w:spacing w:after="57"/>
    </w:pPr>
  </w:style>
  <w:style w:type="paragraph" w:styleId="1048">
    <w:name w:val="toc 4"/>
    <w:basedOn w:val="1056"/>
    <w:next w:val="1056"/>
    <w:uiPriority w:val="39"/>
    <w:unhideWhenUsed/>
    <w:pPr>
      <w:ind w:left="850" w:right="0" w:firstLine="0"/>
      <w:spacing w:after="57"/>
    </w:pPr>
  </w:style>
  <w:style w:type="paragraph" w:styleId="1049">
    <w:name w:val="toc 5"/>
    <w:basedOn w:val="1056"/>
    <w:next w:val="1056"/>
    <w:uiPriority w:val="39"/>
    <w:unhideWhenUsed/>
    <w:pPr>
      <w:ind w:left="1134" w:right="0" w:firstLine="0"/>
      <w:spacing w:after="57"/>
    </w:pPr>
  </w:style>
  <w:style w:type="paragraph" w:styleId="1050">
    <w:name w:val="toc 6"/>
    <w:basedOn w:val="1056"/>
    <w:next w:val="1056"/>
    <w:uiPriority w:val="39"/>
    <w:unhideWhenUsed/>
    <w:pPr>
      <w:ind w:left="1417" w:right="0" w:firstLine="0"/>
      <w:spacing w:after="57"/>
    </w:pPr>
  </w:style>
  <w:style w:type="paragraph" w:styleId="1051">
    <w:name w:val="toc 7"/>
    <w:basedOn w:val="1056"/>
    <w:next w:val="1056"/>
    <w:uiPriority w:val="39"/>
    <w:unhideWhenUsed/>
    <w:pPr>
      <w:ind w:left="1701" w:right="0" w:firstLine="0"/>
      <w:spacing w:after="57"/>
    </w:pPr>
  </w:style>
  <w:style w:type="paragraph" w:styleId="1052">
    <w:name w:val="toc 8"/>
    <w:basedOn w:val="1056"/>
    <w:next w:val="1056"/>
    <w:uiPriority w:val="39"/>
    <w:unhideWhenUsed/>
    <w:pPr>
      <w:ind w:left="1984" w:right="0" w:firstLine="0"/>
      <w:spacing w:after="57"/>
    </w:pPr>
  </w:style>
  <w:style w:type="paragraph" w:styleId="1053">
    <w:name w:val="toc 9"/>
    <w:basedOn w:val="1056"/>
    <w:next w:val="1056"/>
    <w:uiPriority w:val="39"/>
    <w:unhideWhenUsed/>
    <w:pPr>
      <w:ind w:left="2268" w:right="0" w:firstLine="0"/>
      <w:spacing w:after="57"/>
    </w:pPr>
  </w:style>
  <w:style w:type="paragraph" w:styleId="1054">
    <w:name w:val="TOC Heading"/>
    <w:uiPriority w:val="39"/>
    <w:unhideWhenUsed/>
  </w:style>
  <w:style w:type="paragraph" w:styleId="1055">
    <w:name w:val="table of figures"/>
    <w:basedOn w:val="1056"/>
    <w:next w:val="1056"/>
    <w:uiPriority w:val="99"/>
    <w:unhideWhenUsed/>
    <w:pPr>
      <w:spacing w:after="0" w:afterAutospacing="0"/>
    </w:pPr>
  </w:style>
  <w:style w:type="paragraph" w:styleId="1056" w:default="1">
    <w:name w:val="Normal"/>
    <w:qFormat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57">
    <w:name w:val="Heading 1"/>
    <w:basedOn w:val="1056"/>
    <w:next w:val="1056"/>
    <w:link w:val="1064"/>
    <w:qFormat/>
    <w:pPr>
      <w:jc w:val="center"/>
      <w:keepNext/>
      <w:outlineLvl w:val="0"/>
    </w:pPr>
    <w:rPr>
      <w:sz w:val="28"/>
    </w:rPr>
  </w:style>
  <w:style w:type="paragraph" w:styleId="1058">
    <w:name w:val="Heading 2"/>
    <w:basedOn w:val="1056"/>
    <w:next w:val="1056"/>
    <w:link w:val="1089"/>
    <w:uiPriority w:val="9"/>
    <w:unhideWhenUsed/>
    <w:qFormat/>
    <w:pPr>
      <w:keepLines/>
      <w:keepNext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1059">
    <w:name w:val="Heading 3"/>
    <w:basedOn w:val="1056"/>
    <w:next w:val="1056"/>
    <w:link w:val="1087"/>
    <w:uiPriority w:val="9"/>
    <w:semiHidden/>
    <w:unhideWhenUsed/>
    <w:qFormat/>
    <w:pPr>
      <w:keepLines/>
      <w:keepNext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1060">
    <w:name w:val="Heading 5"/>
    <w:basedOn w:val="1056"/>
    <w:next w:val="1056"/>
    <w:link w:val="1082"/>
    <w:unhideWhenUsed/>
    <w:qFormat/>
    <w:pPr>
      <w:keepLines/>
      <w:keepNext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1061" w:default="1">
    <w:name w:val="Default Paragraph Font"/>
    <w:uiPriority w:val="1"/>
    <w:semiHidden/>
    <w:unhideWhenUsed/>
  </w:style>
  <w:style w:type="table" w:styleId="1062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1063" w:default="1">
    <w:name w:val="No List"/>
    <w:uiPriority w:val="99"/>
    <w:semiHidden/>
    <w:unhideWhenUsed/>
  </w:style>
  <w:style w:type="character" w:styleId="1064" w:customStyle="1">
    <w:name w:val="Заголовок 1 Знак"/>
    <w:basedOn w:val="1061"/>
    <w:link w:val="1057"/>
    <w:rPr>
      <w:rFonts w:ascii="Times New Roman" w:hAnsi="Times New Roman" w:eastAsia="Times New Roman" w:cs="Times New Roman"/>
      <w:sz w:val="28"/>
      <w:szCs w:val="24"/>
    </w:rPr>
  </w:style>
  <w:style w:type="paragraph" w:styleId="1065">
    <w:name w:val="Body Text Indent"/>
    <w:basedOn w:val="1056"/>
    <w:link w:val="1066"/>
    <w:uiPriority w:val="99"/>
    <w:pPr>
      <w:ind w:left="1083" w:firstLine="537"/>
      <w:jc w:val="both"/>
      <w:tabs>
        <w:tab w:val="num" w:pos="0" w:leader="none"/>
      </w:tabs>
    </w:pPr>
  </w:style>
  <w:style w:type="character" w:styleId="1066" w:customStyle="1">
    <w:name w:val="Основной текст с отступом Знак"/>
    <w:basedOn w:val="1061"/>
    <w:link w:val="1065"/>
    <w:uiPriority w:val="99"/>
    <w:rPr>
      <w:rFonts w:ascii="Times New Roman" w:hAnsi="Times New Roman" w:eastAsia="Times New Roman" w:cs="Times New Roman"/>
      <w:sz w:val="24"/>
      <w:szCs w:val="24"/>
    </w:rPr>
  </w:style>
  <w:style w:type="paragraph" w:styleId="1067">
    <w:name w:val="Normal (Web)"/>
    <w:basedOn w:val="1056"/>
    <w:uiPriority w:val="99"/>
    <w:pPr>
      <w:spacing w:before="100" w:beforeAutospacing="1" w:after="100" w:afterAutospacing="1"/>
    </w:pPr>
  </w:style>
  <w:style w:type="paragraph" w:styleId="1068">
    <w:name w:val="Title"/>
    <w:basedOn w:val="1056"/>
    <w:link w:val="1069"/>
    <w:uiPriority w:val="10"/>
    <w:qFormat/>
    <w:pPr>
      <w:jc w:val="center"/>
    </w:pPr>
    <w:rPr>
      <w:sz w:val="28"/>
    </w:rPr>
  </w:style>
  <w:style w:type="character" w:styleId="1069" w:customStyle="1">
    <w:name w:val="Заголовок Знак"/>
    <w:basedOn w:val="1061"/>
    <w:link w:val="1068"/>
    <w:uiPriority w:val="10"/>
    <w:rPr>
      <w:rFonts w:ascii="Times New Roman" w:hAnsi="Times New Roman" w:eastAsia="Times New Roman" w:cs="Times New Roman"/>
      <w:sz w:val="28"/>
      <w:szCs w:val="24"/>
    </w:rPr>
  </w:style>
  <w:style w:type="paragraph" w:styleId="1070" w:customStyle="1">
    <w:name w:val="Подподпункт"/>
    <w:basedOn w:val="1056"/>
  </w:style>
  <w:style w:type="paragraph" w:styleId="1071">
    <w:name w:val="Plain Text"/>
    <w:basedOn w:val="1056"/>
    <w:link w:val="1072"/>
    <w:uiPriority w:val="99"/>
    <w:unhideWhenUsed/>
    <w:rPr>
      <w:rFonts w:ascii="Consolas" w:hAnsi="Consolas" w:eastAsia="Calibri"/>
      <w:sz w:val="21"/>
      <w:szCs w:val="21"/>
      <w:lang w:eastAsia="en-US"/>
    </w:rPr>
  </w:style>
  <w:style w:type="character" w:styleId="1072" w:customStyle="1">
    <w:name w:val="Текст Знак"/>
    <w:basedOn w:val="1061"/>
    <w:link w:val="1071"/>
    <w:uiPriority w:val="99"/>
    <w:rPr>
      <w:rFonts w:ascii="Consolas" w:hAnsi="Consolas" w:eastAsia="Calibri" w:cs="Times New Roman"/>
      <w:sz w:val="21"/>
      <w:szCs w:val="21"/>
    </w:rPr>
  </w:style>
  <w:style w:type="character" w:styleId="1073">
    <w:name w:val="annotation reference"/>
    <w:uiPriority w:val="99"/>
    <w:rPr>
      <w:sz w:val="16"/>
      <w:szCs w:val="16"/>
    </w:rPr>
  </w:style>
  <w:style w:type="paragraph" w:styleId="1074">
    <w:name w:val="annotation text"/>
    <w:basedOn w:val="1056"/>
    <w:link w:val="1075"/>
    <w:uiPriority w:val="99"/>
    <w:rPr>
      <w:sz w:val="20"/>
      <w:szCs w:val="20"/>
    </w:rPr>
  </w:style>
  <w:style w:type="character" w:styleId="1075" w:customStyle="1">
    <w:name w:val="Текст примечания Знак"/>
    <w:basedOn w:val="1061"/>
    <w:link w:val="1074"/>
    <w:uiPriority w:val="99"/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1076">
    <w:name w:val="Balloon Text"/>
    <w:basedOn w:val="1056"/>
    <w:link w:val="1077"/>
    <w:uiPriority w:val="99"/>
    <w:semiHidden/>
    <w:unhideWhenUsed/>
    <w:rPr>
      <w:rFonts w:ascii="Tahoma" w:hAnsi="Tahoma" w:cs="Tahoma"/>
      <w:sz w:val="16"/>
      <w:szCs w:val="16"/>
    </w:rPr>
  </w:style>
  <w:style w:type="character" w:styleId="1077" w:customStyle="1">
    <w:name w:val="Текст выноски Знак"/>
    <w:basedOn w:val="1061"/>
    <w:link w:val="1076"/>
    <w:uiPriority w:val="99"/>
    <w:semiHidden/>
    <w:rPr>
      <w:rFonts w:ascii="Tahoma" w:hAnsi="Tahoma" w:eastAsia="Times New Roman" w:cs="Tahoma"/>
      <w:sz w:val="16"/>
      <w:szCs w:val="16"/>
      <w:lang w:eastAsia="ru-RU"/>
    </w:rPr>
  </w:style>
  <w:style w:type="paragraph" w:styleId="1078">
    <w:name w:val="annotation subject"/>
    <w:basedOn w:val="1074"/>
    <w:next w:val="1074"/>
    <w:link w:val="1079"/>
    <w:uiPriority w:val="99"/>
    <w:semiHidden/>
    <w:unhideWhenUsed/>
    <w:rPr>
      <w:b/>
      <w:bCs/>
    </w:rPr>
  </w:style>
  <w:style w:type="character" w:styleId="1079" w:customStyle="1">
    <w:name w:val="Тема примечания Знак"/>
    <w:basedOn w:val="1075"/>
    <w:link w:val="1078"/>
    <w:uiPriority w:val="99"/>
    <w:semiHidden/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paragraph" w:styleId="1080">
    <w:name w:val="List Paragraph"/>
    <w:basedOn w:val="1056"/>
    <w:link w:val="1088"/>
    <w:uiPriority w:val="34"/>
    <w:qFormat/>
    <w:pPr>
      <w:contextualSpacing/>
      <w:ind w:left="720"/>
    </w:pPr>
  </w:style>
  <w:style w:type="character" w:styleId="1081">
    <w:name w:val="Hyperlink"/>
    <w:basedOn w:val="1061"/>
    <w:uiPriority w:val="99"/>
    <w:unhideWhenUsed/>
    <w:rPr>
      <w:color w:val="0000ff"/>
      <w:u w:val="single"/>
    </w:rPr>
  </w:style>
  <w:style w:type="character" w:styleId="1082" w:customStyle="1">
    <w:name w:val="Заголовок 5 Знак"/>
    <w:basedOn w:val="1061"/>
    <w:link w:val="1060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eastAsia="ru-RU"/>
    </w:rPr>
  </w:style>
  <w:style w:type="paragraph" w:styleId="1083">
    <w:name w:val="No Spacing"/>
    <w:uiPriority w:val="1"/>
    <w:qFormat/>
    <w:pPr>
      <w:spacing w:after="0" w:line="240" w:lineRule="auto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1084">
    <w:name w:val="Footer"/>
    <w:basedOn w:val="1056"/>
    <w:link w:val="1085"/>
    <w:uiPriority w:val="99"/>
    <w:pPr>
      <w:tabs>
        <w:tab w:val="center" w:pos="4677" w:leader="none"/>
        <w:tab w:val="right" w:pos="9355" w:leader="none"/>
      </w:tabs>
    </w:pPr>
    <w:rPr>
      <w:rFonts w:eastAsia="SimSun"/>
    </w:rPr>
  </w:style>
  <w:style w:type="character" w:styleId="1085" w:customStyle="1">
    <w:name w:val="Нижний колонтитул Знак"/>
    <w:basedOn w:val="1061"/>
    <w:link w:val="1084"/>
    <w:uiPriority w:val="99"/>
    <w:rPr>
      <w:rFonts w:ascii="Times New Roman" w:hAnsi="Times New Roman" w:eastAsia="SimSun" w:cs="Times New Roman"/>
      <w:sz w:val="24"/>
      <w:szCs w:val="24"/>
      <w:lang w:eastAsia="ru-RU"/>
    </w:rPr>
  </w:style>
  <w:style w:type="character" w:styleId="1086">
    <w:name w:val="page number"/>
    <w:basedOn w:val="1061"/>
  </w:style>
  <w:style w:type="character" w:styleId="1087" w:customStyle="1">
    <w:name w:val="Заголовок 3 Знак"/>
    <w:basedOn w:val="1061"/>
    <w:link w:val="1059"/>
    <w:uiPriority w:val="9"/>
    <w:semiHidden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eastAsia="ru-RU"/>
    </w:rPr>
  </w:style>
  <w:style w:type="character" w:styleId="1088" w:customStyle="1">
    <w:name w:val="Абзац списка Знак"/>
    <w:basedOn w:val="1061"/>
    <w:link w:val="1080"/>
    <w:uiPriority w:val="34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1089" w:customStyle="1">
    <w:name w:val="Заголовок 2 Знак"/>
    <w:basedOn w:val="1061"/>
    <w:link w:val="1058"/>
    <w:uiPriority w:val="9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eastAsia="ru-RU"/>
    </w:rPr>
  </w:style>
  <w:style w:type="paragraph" w:styleId="1090" w:customStyle="1">
    <w:name w:val="ConsPlusNormal"/>
    <w:pPr>
      <w:spacing w:after="0" w:line="240" w:lineRule="auto"/>
      <w:widowControl w:val="off"/>
    </w:pPr>
    <w:rPr>
      <w:rFonts w:ascii="Calibri" w:hAnsi="Calibri" w:eastAsia="Times New Roman" w:cs="Calibri"/>
      <w:szCs w:val="20"/>
      <w:lang w:eastAsia="ru-RU"/>
    </w:rPr>
  </w:style>
  <w:style w:type="paragraph" w:styleId="1091">
    <w:name w:val="footnote text"/>
    <w:basedOn w:val="1056"/>
    <w:link w:val="1092"/>
    <w:uiPriority w:val="99"/>
    <w:unhideWhenUsed/>
    <w:rPr>
      <w:sz w:val="20"/>
      <w:szCs w:val="20"/>
    </w:rPr>
  </w:style>
  <w:style w:type="character" w:styleId="1092" w:customStyle="1">
    <w:name w:val="Текст сноски Знак"/>
    <w:basedOn w:val="1061"/>
    <w:link w:val="1091"/>
    <w:uiPriority w:val="99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1093">
    <w:name w:val="footnote reference"/>
    <w:basedOn w:val="1061"/>
    <w:uiPriority w:val="99"/>
    <w:unhideWhenUsed/>
    <w:rPr>
      <w:vertAlign w:val="superscript"/>
    </w:rPr>
  </w:style>
  <w:style w:type="paragraph" w:styleId="1094" w:customStyle="1">
    <w:name w:val="1-з"/>
    <w:qFormat/>
    <w:pPr>
      <w:numPr>
        <w:ilvl w:val="0"/>
        <w:numId w:val="0"/>
      </w:numPr>
      <w:contextualSpacing w:val="0"/>
      <w:ind w:left="360" w:right="0" w:hanging="360"/>
      <w:jc w:val="center"/>
      <w:keepLines w:val="0"/>
      <w:keepNext w:val="0"/>
      <w:pageBreakBefore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0"/>
      <w:suppressLineNumbers w:val="0"/>
    </w:pPr>
    <w:rPr>
      <w:rFonts w:ascii="Times New Roman" w:hAnsi="Times New Roman" w:eastAsia="Times New Roman" w:cs="Times New Roman"/>
      <w:b/>
      <w:bCs w:val="0"/>
      <w:i w:val="0"/>
      <w:iCs w:val="0"/>
      <w:caps/>
      <w:smallCaps w:val="0"/>
      <w:strike w:val="0"/>
      <w:vanish w:val="0"/>
      <w:color w:val="auto"/>
      <w:spacing w:val="0"/>
      <w:position w:val="0"/>
      <w:sz w:val="24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95" w:customStyle="1">
    <w:name w:val="2-з"/>
    <w:basedOn w:val="1056"/>
    <w:qFormat/>
    <w:pPr>
      <w:numPr>
        <w:ilvl w:val="1"/>
        <w:numId w:val="0"/>
      </w:numPr>
      <w:contextualSpacing w:val="0"/>
      <w:ind w:left="0" w:right="0" w:firstLine="0"/>
      <w:jc w:val="both"/>
      <w:keepLines w:val="0"/>
      <w:keepNext w:val="0"/>
      <w:pageBreakBefore w:val="0"/>
      <w:spacing w:before="120" w:beforeAutospacing="0" w:after="120" w:afterAutospacing="0" w:line="240" w:lineRule="auto"/>
      <w:shd w:val="nil"/>
      <w:widowControl w:val="off"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outlineLvl w:val="1"/>
      <w:suppressLineNumbers w:val="0"/>
    </w:pPr>
    <w:rPr>
      <w:rFonts w:ascii="Times New Roman" w:hAnsi="Times New Roman" w:eastAsia="Times New Roman" w:cs="Times New Roman"/>
      <w:b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096" w:customStyle="1">
    <w:name w:val="3-з"/>
    <w:qFormat/>
    <w:pPr>
      <w:numPr>
        <w:ilvl w:val="2"/>
        <w:numId w:val="0"/>
      </w:numPr>
      <w:contextualSpacing w:val="0"/>
      <w:ind w:left="1135" w:right="0" w:hanging="567"/>
      <w:jc w:val="both"/>
      <w:keepLines w:val="0"/>
      <w:keepNext w:val="0"/>
      <w:pageBreakBefore w:val="0"/>
      <w:spacing w:before="120" w:beforeAutospacing="0" w:after="12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footer" Target="footer1.xml" /><Relationship Id="rId10" Type="http://schemas.openxmlformats.org/officeDocument/2006/relationships/footer" Target="footer2.xml" /><Relationship Id="rId11" Type="http://schemas.openxmlformats.org/officeDocument/2006/relationships/customXml" Target="../customXml/item1.xml" 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image" Target="media/image12.png"/><Relationship Id="rId24" Type="http://schemas.openxmlformats.org/officeDocument/2006/relationships/image" Target="media/image13.png"/><Relationship Id="rId25" Type="http://schemas.openxmlformats.org/officeDocument/2006/relationships/image" Target="media/image14.png"/><Relationship Id="rId26" Type="http://schemas.openxmlformats.org/officeDocument/2006/relationships/image" Target="media/image15.png"/><Relationship Id="rId27" Type="http://schemas.openxmlformats.org/officeDocument/2006/relationships/image" Target="media/image16.jpg"/><Relationship Id="rId28" Type="http://schemas.openxmlformats.org/officeDocument/2006/relationships/image" Target="media/image17.jpg"/><Relationship Id="rId29" Type="http://schemas.openxmlformats.org/officeDocument/2006/relationships/image" Target="media/image18.jpg"/><Relationship Id="rId30" Type="http://schemas.openxmlformats.org/officeDocument/2006/relationships/image" Target="media/image19.jpg"/><Relationship Id="rId31" Type="http://schemas.openxmlformats.org/officeDocument/2006/relationships/image" Target="media/image20.jpg"/><Relationship Id="rId32" Type="http://schemas.openxmlformats.org/officeDocument/2006/relationships/image" Target="media/image21.jpg"/><Relationship Id="rId33" Type="http://schemas.openxmlformats.org/officeDocument/2006/relationships/image" Target="media/image22.jpg"/><Relationship Id="rId34" Type="http://schemas.openxmlformats.org/officeDocument/2006/relationships/image" Target="media/image23.jpg"/><Relationship Id="rId35" Type="http://schemas.openxmlformats.org/officeDocument/2006/relationships/image" Target="media/image24.jpg"/><Relationship Id="rId36" Type="http://schemas.openxmlformats.org/officeDocument/2006/relationships/image" Target="media/image25.jpg"/><Relationship Id="rId37" Type="http://schemas.openxmlformats.org/officeDocument/2006/relationships/image" Target="media/image26.jpg"/><Relationship Id="rId38" Type="http://schemas.openxmlformats.org/officeDocument/2006/relationships/image" Target="media/image27.jpg"/><Relationship Id="rId39" Type="http://schemas.openxmlformats.org/officeDocument/2006/relationships/image" Target="media/image28.jpg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Relationship Id="rId1" Type="http://schemas.openxmlformats.org/officeDocument/2006/relationships/hyperlink" Target="https://www.rosseti.ru/suppliers/technical-policy/equipment-quality-control/" TargetMode="External"/><Relationship Id="rId2" Type="http://schemas.openxmlformats.org/officeDocument/2006/relationships/hyperlink" Target="https://www.rosseti.ru/suppliers/technical-policy/equipment-quality-control/" TargetMode="External"/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E314D74-33E8-410B-8A1E-6636E27C70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Р7-Офис/2026.1.2.1942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gubina-os</dc:creator>
  <cp:lastModifiedBy>Kasatkina-VS</cp:lastModifiedBy>
  <cp:revision>49</cp:revision>
  <dcterms:created xsi:type="dcterms:W3CDTF">2025-07-29T06:56:00Z</dcterms:created>
  <dcterms:modified xsi:type="dcterms:W3CDTF">2026-08-25T04:21:15Z</dcterms:modified>
</cp:coreProperties>
</file>